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278"/>
        <w:gridCol w:w="720"/>
        <w:gridCol w:w="9739"/>
        <w:gridCol w:w="2879"/>
      </w:tblGrid>
      <w:tr w:rsidR="003F4BDF" w:rsidRPr="00A75FD8" w:rsidTr="00D66A48">
        <w:trPr>
          <w:cantSplit/>
          <w:tblHeader/>
        </w:trPr>
        <w:tc>
          <w:tcPr>
            <w:tcW w:w="1278" w:type="dxa"/>
            <w:shd w:val="clear" w:color="auto" w:fill="92D050"/>
          </w:tcPr>
          <w:p w:rsidR="003F4BDF" w:rsidRPr="006E185B" w:rsidRDefault="003F4BDF" w:rsidP="00A270EB">
            <w:pPr>
              <w:rPr>
                <w:rFonts w:ascii="Arial Narrow" w:hAnsi="Arial Narrow"/>
                <w:sz w:val="20"/>
                <w:szCs w:val="20"/>
              </w:rPr>
            </w:pPr>
            <w:r w:rsidRPr="006E185B">
              <w:rPr>
                <w:rFonts w:ascii="Arial Narrow" w:hAnsi="Arial Narrow"/>
                <w:sz w:val="20"/>
                <w:szCs w:val="20"/>
              </w:rPr>
              <w:t>Voter</w:t>
            </w:r>
          </w:p>
        </w:tc>
        <w:tc>
          <w:tcPr>
            <w:tcW w:w="720" w:type="dxa"/>
            <w:shd w:val="clear" w:color="auto" w:fill="92D050"/>
          </w:tcPr>
          <w:p w:rsidR="003F4BDF" w:rsidRPr="006E185B" w:rsidRDefault="003F4BDF" w:rsidP="00A270EB">
            <w:pPr>
              <w:rPr>
                <w:rFonts w:ascii="Arial Narrow" w:hAnsi="Arial Narrow"/>
                <w:sz w:val="20"/>
                <w:szCs w:val="20"/>
              </w:rPr>
            </w:pPr>
            <w:r w:rsidRPr="006E185B">
              <w:rPr>
                <w:rFonts w:ascii="Arial Narrow" w:hAnsi="Arial Narrow"/>
                <w:sz w:val="20"/>
                <w:szCs w:val="20"/>
              </w:rPr>
              <w:t>Vote</w:t>
            </w:r>
          </w:p>
        </w:tc>
        <w:tc>
          <w:tcPr>
            <w:tcW w:w="9739" w:type="dxa"/>
            <w:tcBorders>
              <w:right w:val="single" w:sz="4" w:space="0" w:color="auto"/>
            </w:tcBorders>
            <w:shd w:val="clear" w:color="auto" w:fill="92D050"/>
          </w:tcPr>
          <w:p w:rsidR="003F4BDF" w:rsidRPr="006E185B" w:rsidRDefault="003F4BDF" w:rsidP="00A270EB">
            <w:pPr>
              <w:rPr>
                <w:rFonts w:ascii="Arial Narrow" w:hAnsi="Arial Narrow"/>
                <w:sz w:val="20"/>
                <w:szCs w:val="20"/>
              </w:rPr>
            </w:pPr>
            <w:r w:rsidRPr="006E185B">
              <w:rPr>
                <w:rFonts w:ascii="Arial Narrow" w:hAnsi="Arial Narrow"/>
                <w:sz w:val="20"/>
                <w:szCs w:val="20"/>
              </w:rPr>
              <w:t>Comments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92D050"/>
          </w:tcPr>
          <w:p w:rsidR="003F4BDF" w:rsidRPr="006E185B" w:rsidRDefault="003F4BDF" w:rsidP="00A270EB">
            <w:pPr>
              <w:rPr>
                <w:rFonts w:ascii="Arial Narrow" w:hAnsi="Arial Narrow"/>
                <w:sz w:val="20"/>
                <w:szCs w:val="20"/>
              </w:rPr>
            </w:pPr>
            <w:r w:rsidRPr="006E185B">
              <w:rPr>
                <w:rFonts w:ascii="Arial Narrow" w:hAnsi="Arial Narrow"/>
                <w:sz w:val="20"/>
                <w:szCs w:val="20"/>
              </w:rPr>
              <w:t>Responses</w:t>
            </w:r>
          </w:p>
        </w:tc>
      </w:tr>
      <w:tr w:rsidR="00A01C26" w:rsidRPr="00D66A48" w:rsidTr="00D66A48">
        <w:trPr>
          <w:cantSplit/>
          <w:tblHeader/>
        </w:trPr>
        <w:tc>
          <w:tcPr>
            <w:tcW w:w="1278" w:type="dxa"/>
            <w:shd w:val="clear" w:color="auto" w:fill="C6D9F1" w:themeFill="text2" w:themeFillTint="33"/>
          </w:tcPr>
          <w:p w:rsidR="00A01C26" w:rsidRDefault="00A01C26" w:rsidP="00A270EB">
            <w:pPr>
              <w:rPr>
                <w:rFonts w:ascii="Arial Narrow" w:hAnsi="Arial Narrow"/>
                <w:sz w:val="20"/>
                <w:szCs w:val="20"/>
              </w:rPr>
            </w:pPr>
            <w:r w:rsidRPr="006E185B">
              <w:rPr>
                <w:rFonts w:ascii="Arial Narrow" w:hAnsi="Arial Narrow"/>
                <w:sz w:val="20"/>
                <w:szCs w:val="20"/>
              </w:rPr>
              <w:t>Item 1</w:t>
            </w:r>
          </w:p>
          <w:p w:rsidR="00D25ADC" w:rsidRPr="006E185B" w:rsidRDefault="00750D79" w:rsidP="00A270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Section 2.11</w:t>
            </w:r>
          </w:p>
        </w:tc>
        <w:tc>
          <w:tcPr>
            <w:tcW w:w="13338" w:type="dxa"/>
            <w:gridSpan w:val="3"/>
            <w:shd w:val="clear" w:color="auto" w:fill="C6D9F1" w:themeFill="text2" w:themeFillTint="33"/>
            <w:vAlign w:val="center"/>
          </w:tcPr>
          <w:p w:rsidR="00750D79" w:rsidRPr="00750D79" w:rsidRDefault="00750D79" w:rsidP="00750D79">
            <w:pPr>
              <w:rPr>
                <w:rFonts w:ascii="Arial Narrow" w:hAnsi="Arial Narrow"/>
                <w:b/>
                <w:sz w:val="20"/>
              </w:rPr>
            </w:pPr>
            <w:r w:rsidRPr="00750D79">
              <w:rPr>
                <w:rFonts w:ascii="Arial Narrow" w:hAnsi="Arial Narrow"/>
                <w:b/>
                <w:sz w:val="20"/>
              </w:rPr>
              <w:t>Revise the 1</w:t>
            </w:r>
            <w:r w:rsidRPr="00750D79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 w:rsidRPr="00750D79">
              <w:rPr>
                <w:rFonts w:ascii="Arial Narrow" w:hAnsi="Arial Narrow"/>
                <w:b/>
                <w:sz w:val="20"/>
              </w:rPr>
              <w:t xml:space="preserve"> sentence of Section 2.11 as follows:</w:t>
            </w:r>
          </w:p>
          <w:p w:rsidR="00750D79" w:rsidRPr="00750D79" w:rsidRDefault="00750D79" w:rsidP="00750D79">
            <w:pPr>
              <w:rPr>
                <w:rFonts w:ascii="Arial Narrow" w:hAnsi="Arial Narrow"/>
                <w:sz w:val="20"/>
              </w:rPr>
            </w:pPr>
            <w:r w:rsidRPr="00750D79">
              <w:rPr>
                <w:rFonts w:ascii="Arial Narrow" w:hAnsi="Arial Narrow"/>
                <w:sz w:val="20"/>
              </w:rPr>
              <w:t>In lieu of specific data, the modulus of rigidity shall be taken as 1/16 of the long-span modulus of elasticity, as defined in ASTM D3737 (10),</w:t>
            </w:r>
            <w:r w:rsidRPr="00750D79">
              <w:rPr>
                <w:rFonts w:ascii="Arial Narrow" w:hAnsi="Arial Narrow"/>
                <w:color w:val="FF0000"/>
                <w:sz w:val="20"/>
                <w:u w:val="single"/>
              </w:rPr>
              <w:t xml:space="preserve"> or E</w:t>
            </w:r>
            <w:r w:rsidRPr="00750D79">
              <w:rPr>
                <w:rFonts w:ascii="Arial Narrow" w:hAnsi="Arial Narrow"/>
                <w:color w:val="FF0000"/>
                <w:sz w:val="20"/>
                <w:u w:val="single"/>
                <w:vertAlign w:val="subscript"/>
              </w:rPr>
              <w:t>true</w:t>
            </w:r>
            <w:r w:rsidRPr="00750D79">
              <w:rPr>
                <w:rFonts w:ascii="Arial Narrow" w:hAnsi="Arial Narrow"/>
                <w:sz w:val="20"/>
              </w:rPr>
              <w:t xml:space="preserve"> for the lowest grade lamination used in the lay-up.</w:t>
            </w:r>
          </w:p>
          <w:p w:rsidR="00364FC8" w:rsidRPr="00750D79" w:rsidRDefault="00750D79" w:rsidP="00750D79">
            <w:pPr>
              <w:rPr>
                <w:rFonts w:ascii="Arial Narrow" w:hAnsi="Arial Narrow"/>
                <w:sz w:val="20"/>
                <w:szCs w:val="20"/>
              </w:rPr>
            </w:pPr>
            <w:r w:rsidRPr="00750D79">
              <w:rPr>
                <w:rFonts w:ascii="Arial Narrow" w:hAnsi="Arial Narrow"/>
                <w:b/>
                <w:sz w:val="20"/>
              </w:rPr>
              <w:t>Rationale:</w:t>
            </w:r>
            <w:r w:rsidRPr="00750D79">
              <w:rPr>
                <w:rFonts w:ascii="Arial Narrow" w:hAnsi="Arial Narrow"/>
                <w:sz w:val="20"/>
              </w:rPr>
              <w:t xml:space="preserve"> Clarification.  </w:t>
            </w:r>
            <w:r w:rsidRPr="00750D79">
              <w:rPr>
                <w:rFonts w:ascii="Arial Narrow" w:hAnsi="Arial Narrow"/>
                <w:b/>
                <w:sz w:val="20"/>
              </w:rPr>
              <w:t>This is an additional change from Item 3 of Ballot 1</w:t>
            </w:r>
            <w:r w:rsidRPr="00750D79">
              <w:rPr>
                <w:rFonts w:ascii="Arial Narrow" w:hAnsi="Arial Narrow"/>
                <w:sz w:val="20"/>
              </w:rPr>
              <w:t xml:space="preserve"> in response to a negative vote from Ballot 1.  “E</w:t>
            </w:r>
            <w:r w:rsidRPr="00750D79">
              <w:rPr>
                <w:rFonts w:ascii="Arial Narrow" w:hAnsi="Arial Narrow"/>
                <w:sz w:val="20"/>
                <w:vertAlign w:val="subscript"/>
              </w:rPr>
              <w:t>true</w:t>
            </w:r>
            <w:r w:rsidRPr="00750D79">
              <w:rPr>
                <w:rFonts w:ascii="Arial Narrow" w:hAnsi="Arial Narrow"/>
                <w:sz w:val="20"/>
              </w:rPr>
              <w:t>” is referenced in the National Design Specification for Wood Construction (NDS) as a shear-free modulus of elasticity, and “long-span E” is referenced in ASTM D3737 specifically for glulam for the same physical meaning.</w:t>
            </w:r>
          </w:p>
        </w:tc>
      </w:tr>
      <w:tr w:rsidR="00364FC8" w:rsidRPr="00BC56C5" w:rsidTr="00DC48FB">
        <w:trPr>
          <w:cantSplit/>
          <w:tblHeader/>
        </w:trPr>
        <w:tc>
          <w:tcPr>
            <w:tcW w:w="1278" w:type="dxa"/>
            <w:shd w:val="clear" w:color="auto" w:fill="FFFFFF" w:themeFill="background1"/>
            <w:vAlign w:val="center"/>
          </w:tcPr>
          <w:p w:rsidR="00364FC8" w:rsidRPr="00BC56C5" w:rsidRDefault="00DD6F19" w:rsidP="00DC48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Gilham</w:t>
            </w:r>
          </w:p>
        </w:tc>
        <w:tc>
          <w:tcPr>
            <w:tcW w:w="720" w:type="dxa"/>
            <w:vAlign w:val="center"/>
          </w:tcPr>
          <w:p w:rsidR="00364FC8" w:rsidRPr="00BC56C5" w:rsidRDefault="00DD6F19" w:rsidP="00DC48F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9739" w:type="dxa"/>
            <w:tcBorders>
              <w:right w:val="single" w:sz="4" w:space="0" w:color="auto"/>
            </w:tcBorders>
            <w:vAlign w:val="center"/>
          </w:tcPr>
          <w:p w:rsidR="00DD6F19" w:rsidRPr="00DD6F19" w:rsidRDefault="00DD6F19" w:rsidP="00DD6F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6F19">
              <w:rPr>
                <w:rFonts w:ascii="Arial Narrow" w:hAnsi="Arial Narrow" w:cs="Arial"/>
                <w:sz w:val="20"/>
                <w:szCs w:val="20"/>
              </w:rPr>
              <w:t xml:space="preserve">The text indicates using </w:t>
            </w:r>
            <w:proofErr w:type="gramStart"/>
            <w:r w:rsidRPr="00DD6F19">
              <w:rPr>
                <w:rFonts w:ascii="Arial Narrow" w:hAnsi="Arial Narrow" w:cs="Arial"/>
                <w:sz w:val="20"/>
                <w:szCs w:val="20"/>
              </w:rPr>
              <w:t>E(</w:t>
            </w:r>
            <w:proofErr w:type="gramEnd"/>
            <w:r w:rsidRPr="00DD6F19">
              <w:rPr>
                <w:rFonts w:ascii="Arial Narrow" w:hAnsi="Arial Narrow" w:cs="Arial"/>
                <w:sz w:val="20"/>
                <w:szCs w:val="20"/>
              </w:rPr>
              <w:t xml:space="preserve">true) for the lowest grade lamination in the layup.  The revised table A1 added a column with E(true) for each beam layup but table A2 does not have E(true) for the individual laminations.  For example, if I wanted to find the modulus of rigidity for a 24F-V4 beam, I would use 1/16 of </w:t>
            </w:r>
            <w:proofErr w:type="gramStart"/>
            <w:r w:rsidRPr="00DD6F19">
              <w:rPr>
                <w:rFonts w:ascii="Arial Narrow" w:hAnsi="Arial Narrow" w:cs="Arial"/>
                <w:sz w:val="20"/>
                <w:szCs w:val="20"/>
              </w:rPr>
              <w:t>E(</w:t>
            </w:r>
            <w:proofErr w:type="gramEnd"/>
            <w:r w:rsidRPr="00DD6F19">
              <w:rPr>
                <w:rFonts w:ascii="Arial Narrow" w:hAnsi="Arial Narrow" w:cs="Arial"/>
                <w:sz w:val="20"/>
                <w:szCs w:val="20"/>
              </w:rPr>
              <w:t xml:space="preserve">true) for the L3 laminations.  Table A2 does not list </w:t>
            </w:r>
            <w:proofErr w:type="gramStart"/>
            <w:r w:rsidRPr="00DD6F19">
              <w:rPr>
                <w:rFonts w:ascii="Arial Narrow" w:hAnsi="Arial Narrow" w:cs="Arial"/>
                <w:sz w:val="20"/>
                <w:szCs w:val="20"/>
              </w:rPr>
              <w:t>E(</w:t>
            </w:r>
            <w:proofErr w:type="gramEnd"/>
            <w:r w:rsidRPr="00DD6F19">
              <w:rPr>
                <w:rFonts w:ascii="Arial Narrow" w:hAnsi="Arial Narrow" w:cs="Arial"/>
                <w:sz w:val="20"/>
                <w:szCs w:val="20"/>
              </w:rPr>
              <w:t xml:space="preserve">true) for L3 laminations.  A design engineer may not understand the addition of the new column in table A1 and would incorrectly assume that the </w:t>
            </w:r>
            <w:proofErr w:type="gramStart"/>
            <w:r w:rsidRPr="00DD6F19">
              <w:rPr>
                <w:rFonts w:ascii="Arial Narrow" w:hAnsi="Arial Narrow" w:cs="Arial"/>
                <w:sz w:val="20"/>
                <w:szCs w:val="20"/>
              </w:rPr>
              <w:t>E(</w:t>
            </w:r>
            <w:proofErr w:type="gramEnd"/>
            <w:r w:rsidRPr="00DD6F19">
              <w:rPr>
                <w:rFonts w:ascii="Arial Narrow" w:hAnsi="Arial Narrow" w:cs="Arial"/>
                <w:sz w:val="20"/>
                <w:szCs w:val="20"/>
              </w:rPr>
              <w:t>true) listed in table A1 to calculate the modulus of rigidity.</w:t>
            </w:r>
          </w:p>
          <w:p w:rsidR="00DD6F19" w:rsidRPr="00DD6F19" w:rsidRDefault="00DD6F19" w:rsidP="00DD6F1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64FC8" w:rsidRPr="00DD6F19" w:rsidRDefault="00DD6F19" w:rsidP="00DD6F1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DD6F19">
              <w:rPr>
                <w:rFonts w:ascii="Arial Narrow" w:hAnsi="Arial Narrow" w:cs="Arial"/>
                <w:sz w:val="20"/>
                <w:szCs w:val="20"/>
              </w:rPr>
              <w:t xml:space="preserve">In Section 2.5 the text references Ex and </w:t>
            </w:r>
            <w:proofErr w:type="spellStart"/>
            <w:r w:rsidRPr="00DD6F19">
              <w:rPr>
                <w:rFonts w:ascii="Arial Narrow" w:hAnsi="Arial Narrow" w:cs="Arial"/>
                <w:sz w:val="20"/>
                <w:szCs w:val="20"/>
              </w:rPr>
              <w:t>Ey</w:t>
            </w:r>
            <w:proofErr w:type="spellEnd"/>
            <w:r w:rsidRPr="00DD6F19">
              <w:rPr>
                <w:rFonts w:ascii="Arial Narrow" w:hAnsi="Arial Narrow" w:cs="Arial"/>
                <w:sz w:val="20"/>
                <w:szCs w:val="20"/>
              </w:rPr>
              <w:t xml:space="preserve">.  The revised table A1 now uses </w:t>
            </w:r>
            <w:proofErr w:type="gramStart"/>
            <w:r w:rsidRPr="00DD6F19">
              <w:rPr>
                <w:rFonts w:ascii="Arial Narrow" w:hAnsi="Arial Narrow" w:cs="Arial"/>
                <w:sz w:val="20"/>
                <w:szCs w:val="20"/>
              </w:rPr>
              <w:t>Ex(</w:t>
            </w:r>
            <w:proofErr w:type="gramEnd"/>
            <w:r w:rsidRPr="00DD6F19">
              <w:rPr>
                <w:rFonts w:ascii="Arial Narrow" w:hAnsi="Arial Narrow" w:cs="Arial"/>
                <w:sz w:val="20"/>
                <w:szCs w:val="20"/>
              </w:rPr>
              <w:t xml:space="preserve">app) and </w:t>
            </w:r>
            <w:proofErr w:type="spellStart"/>
            <w:r w:rsidRPr="00DD6F19">
              <w:rPr>
                <w:rFonts w:ascii="Arial Narrow" w:hAnsi="Arial Narrow" w:cs="Arial"/>
                <w:sz w:val="20"/>
                <w:szCs w:val="20"/>
              </w:rPr>
              <w:t>Ey</w:t>
            </w:r>
            <w:proofErr w:type="spellEnd"/>
            <w:r w:rsidRPr="00DD6F19">
              <w:rPr>
                <w:rFonts w:ascii="Arial Narrow" w:hAnsi="Arial Narrow" w:cs="Arial"/>
                <w:sz w:val="20"/>
                <w:szCs w:val="20"/>
              </w:rPr>
              <w:t xml:space="preserve">(app).  Section 2.5 should reference </w:t>
            </w:r>
            <w:proofErr w:type="gramStart"/>
            <w:r w:rsidRPr="00DD6F19">
              <w:rPr>
                <w:rFonts w:ascii="Arial Narrow" w:hAnsi="Arial Narrow" w:cs="Arial"/>
                <w:sz w:val="20"/>
                <w:szCs w:val="20"/>
              </w:rPr>
              <w:t>Ex(</w:t>
            </w:r>
            <w:proofErr w:type="gramEnd"/>
            <w:r w:rsidRPr="00DD6F19">
              <w:rPr>
                <w:rFonts w:ascii="Arial Narrow" w:hAnsi="Arial Narrow" w:cs="Arial"/>
                <w:sz w:val="20"/>
                <w:szCs w:val="20"/>
              </w:rPr>
              <w:t xml:space="preserve">app) and </w:t>
            </w:r>
            <w:proofErr w:type="spellStart"/>
            <w:r w:rsidRPr="00DD6F19">
              <w:rPr>
                <w:rFonts w:ascii="Arial Narrow" w:hAnsi="Arial Narrow" w:cs="Arial"/>
                <w:sz w:val="20"/>
                <w:szCs w:val="20"/>
              </w:rPr>
              <w:t>Ey</w:t>
            </w:r>
            <w:proofErr w:type="spellEnd"/>
            <w:r w:rsidRPr="00DD6F19">
              <w:rPr>
                <w:rFonts w:ascii="Arial Narrow" w:hAnsi="Arial Narrow" w:cs="Arial"/>
                <w:sz w:val="20"/>
                <w:szCs w:val="20"/>
              </w:rPr>
              <w:t>(app) for use in calculating deflections when the span to depth ratio is greater than 14.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4FC8" w:rsidRPr="00CC7869" w:rsidRDefault="00CC7869" w:rsidP="00D25A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7869">
              <w:rPr>
                <w:rFonts w:ascii="Arial Narrow" w:hAnsi="Arial Narrow" w:cs="Arial"/>
                <w:sz w:val="20"/>
                <w:szCs w:val="20"/>
              </w:rPr>
              <w:t>Negative was withdrawn based on the addition of the following note to Section 2.11:</w:t>
            </w:r>
          </w:p>
          <w:p w:rsidR="00CC7869" w:rsidRPr="00CC7869" w:rsidRDefault="00CC7869" w:rsidP="00D25A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7869"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  <w:t>Note:  The lowest grade lamination used in the lay-up can be found in Annex B.  The E</w:t>
            </w:r>
            <w:r w:rsidRPr="00CC7869">
              <w:rPr>
                <w:rFonts w:ascii="Arial Narrow" w:hAnsi="Arial Narrow" w:cs="Arial"/>
                <w:color w:val="FF0000"/>
                <w:sz w:val="20"/>
                <w:szCs w:val="20"/>
                <w:u w:val="single"/>
                <w:vertAlign w:val="subscript"/>
              </w:rPr>
              <w:t>true</w:t>
            </w:r>
            <w:r w:rsidRPr="00CC7869"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  <w:t xml:space="preserve"> for the lowest grade lamination can be determined from Table A2 based on E</w:t>
            </w:r>
            <w:r w:rsidRPr="00CC7869">
              <w:rPr>
                <w:rFonts w:ascii="Arial Narrow" w:hAnsi="Arial Narrow" w:cs="Arial"/>
                <w:color w:val="FF0000"/>
                <w:sz w:val="20"/>
                <w:szCs w:val="20"/>
                <w:u w:val="single"/>
                <w:vertAlign w:val="subscript"/>
              </w:rPr>
              <w:t>true</w:t>
            </w:r>
            <w:r w:rsidRPr="00CC7869"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  <w:t xml:space="preserve"> = </w:t>
            </w:r>
            <w:proofErr w:type="spellStart"/>
            <w:r w:rsidRPr="00CC7869"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  <w:t>E</w:t>
            </w:r>
            <w:r w:rsidRPr="00CC7869">
              <w:rPr>
                <w:rFonts w:ascii="Arial Narrow" w:hAnsi="Arial Narrow" w:cs="Arial"/>
                <w:color w:val="FF0000"/>
                <w:sz w:val="20"/>
                <w:szCs w:val="20"/>
                <w:u w:val="single"/>
                <w:vertAlign w:val="subscript"/>
              </w:rPr>
              <w:t>axial</w:t>
            </w:r>
            <w:proofErr w:type="spellEnd"/>
            <w:r w:rsidRPr="00CC7869"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  <w:t>, as specified in Section 2.4.</w:t>
            </w:r>
          </w:p>
        </w:tc>
      </w:tr>
      <w:tr w:rsidR="00364FC8" w:rsidRPr="00D66A48" w:rsidTr="00DC48FB">
        <w:trPr>
          <w:cantSplit/>
          <w:tblHeader/>
        </w:trPr>
        <w:tc>
          <w:tcPr>
            <w:tcW w:w="1278" w:type="dxa"/>
            <w:shd w:val="clear" w:color="auto" w:fill="C6D9F1" w:themeFill="text2" w:themeFillTint="33"/>
          </w:tcPr>
          <w:p w:rsidR="00364FC8" w:rsidRDefault="00364FC8" w:rsidP="00DC48FB">
            <w:pPr>
              <w:rPr>
                <w:rFonts w:ascii="Arial Narrow" w:hAnsi="Arial Narrow"/>
                <w:sz w:val="20"/>
                <w:szCs w:val="20"/>
              </w:rPr>
            </w:pPr>
            <w:r w:rsidRPr="006E185B">
              <w:rPr>
                <w:rFonts w:ascii="Arial Narrow" w:hAnsi="Arial Narrow"/>
                <w:sz w:val="20"/>
                <w:szCs w:val="20"/>
              </w:rPr>
              <w:t xml:space="preserve">Item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D25ADC" w:rsidRPr="006E185B" w:rsidRDefault="00750D79" w:rsidP="00DC48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Section 3.1</w:t>
            </w:r>
          </w:p>
        </w:tc>
        <w:tc>
          <w:tcPr>
            <w:tcW w:w="13338" w:type="dxa"/>
            <w:gridSpan w:val="3"/>
            <w:shd w:val="clear" w:color="auto" w:fill="C6D9F1" w:themeFill="text2" w:themeFillTint="33"/>
            <w:vAlign w:val="center"/>
          </w:tcPr>
          <w:p w:rsidR="00750D79" w:rsidRPr="00750D79" w:rsidRDefault="00750D79" w:rsidP="00750D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0D79">
              <w:rPr>
                <w:rFonts w:ascii="Arial Narrow" w:hAnsi="Arial Narrow"/>
                <w:b/>
                <w:sz w:val="20"/>
                <w:szCs w:val="20"/>
              </w:rPr>
              <w:t>Revise the Section as follows:</w:t>
            </w:r>
          </w:p>
          <w:p w:rsidR="00750D79" w:rsidRPr="00750D79" w:rsidRDefault="00750D79" w:rsidP="00750D79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750D79">
              <w:rPr>
                <w:rFonts w:ascii="Arial Narrow" w:hAnsi="Arial Narrow"/>
                <w:sz w:val="20"/>
                <w:szCs w:val="20"/>
              </w:rPr>
              <w:t xml:space="preserve">Lumber grades shall be in accordance with </w:t>
            </w:r>
            <w:r w:rsidRPr="00750D79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Annex C of this Standard </w:t>
            </w:r>
            <w:r w:rsidRPr="00750D79">
              <w:rPr>
                <w:rFonts w:ascii="Arial Narrow" w:hAnsi="Arial Narrow"/>
                <w:sz w:val="20"/>
                <w:szCs w:val="20"/>
              </w:rPr>
              <w:t xml:space="preserve">and Section 4.3 – </w:t>
            </w:r>
            <w:r w:rsidRPr="00750D79">
              <w:rPr>
                <w:rFonts w:ascii="Arial Narrow" w:hAnsi="Arial Narrow"/>
                <w:i/>
                <w:sz w:val="20"/>
                <w:szCs w:val="20"/>
              </w:rPr>
              <w:t>Lumber for Laminating</w:t>
            </w:r>
            <w:r w:rsidRPr="00750D79">
              <w:rPr>
                <w:rFonts w:ascii="Arial Narrow" w:hAnsi="Arial Narrow"/>
                <w:sz w:val="20"/>
                <w:szCs w:val="20"/>
              </w:rPr>
              <w:t xml:space="preserve"> of ANSI A190.1 (4).  </w:t>
            </w:r>
            <w:r w:rsidRPr="00750D79">
              <w:rPr>
                <w:rFonts w:ascii="Arial Narrow" w:hAnsi="Arial Narrow"/>
                <w:i/>
                <w:strike/>
                <w:color w:val="0000FF"/>
                <w:sz w:val="20"/>
                <w:szCs w:val="20"/>
              </w:rPr>
              <w:t>AITC Grading Handbook for Laminating Lumber</w:t>
            </w:r>
            <w:r w:rsidRPr="00750D79">
              <w:rPr>
                <w:rFonts w:ascii="Arial Narrow" w:hAnsi="Arial Narrow"/>
                <w:strike/>
                <w:color w:val="0000FF"/>
                <w:sz w:val="20"/>
                <w:szCs w:val="20"/>
              </w:rPr>
              <w:t xml:space="preserve"> (1) summarizes the requirements for laminating grades of approved species and references approved grading rules.</w:t>
            </w:r>
          </w:p>
          <w:p w:rsidR="00364FC8" w:rsidRPr="00750D79" w:rsidRDefault="00750D79" w:rsidP="00750D79">
            <w:pPr>
              <w:rPr>
                <w:rFonts w:ascii="Arial Narrow" w:hAnsi="Arial Narrow"/>
                <w:sz w:val="20"/>
                <w:szCs w:val="20"/>
              </w:rPr>
            </w:pPr>
            <w:r w:rsidRPr="00750D79">
              <w:rPr>
                <w:rFonts w:ascii="Arial Narrow" w:hAnsi="Arial Narrow"/>
                <w:b/>
                <w:sz w:val="20"/>
                <w:szCs w:val="20"/>
              </w:rPr>
              <w:t>Rationale:</w:t>
            </w:r>
            <w:r w:rsidRPr="00750D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50D79">
              <w:rPr>
                <w:rFonts w:ascii="Arial Narrow" w:hAnsi="Arial Narrow"/>
                <w:b/>
                <w:sz w:val="20"/>
                <w:szCs w:val="20"/>
              </w:rPr>
              <w:t>This is a revision from Item 5 of Ballot 1.</w:t>
            </w:r>
            <w:r w:rsidRPr="00750D79">
              <w:rPr>
                <w:rFonts w:ascii="Arial Narrow" w:hAnsi="Arial Narrow"/>
                <w:sz w:val="20"/>
                <w:szCs w:val="20"/>
              </w:rPr>
              <w:t xml:space="preserve">  The laminating lumber grading rules were previously published in AITC 117-2004 (and earlier versions), but were removed from the standard in 2010.  As a result of comments from Ballot 1, the </w:t>
            </w:r>
            <w:proofErr w:type="spellStart"/>
            <w:r w:rsidRPr="00750D79">
              <w:rPr>
                <w:rFonts w:ascii="Arial Narrow" w:hAnsi="Arial Narrow"/>
                <w:sz w:val="20"/>
                <w:szCs w:val="20"/>
              </w:rPr>
              <w:t>ExSub</w:t>
            </w:r>
            <w:proofErr w:type="spellEnd"/>
            <w:r w:rsidRPr="00750D79">
              <w:rPr>
                <w:rFonts w:ascii="Arial Narrow" w:hAnsi="Arial Narrow"/>
                <w:sz w:val="20"/>
                <w:szCs w:val="20"/>
              </w:rPr>
              <w:t xml:space="preserve"> of this </w:t>
            </w:r>
            <w:proofErr w:type="gramStart"/>
            <w:r w:rsidRPr="00750D79">
              <w:rPr>
                <w:rFonts w:ascii="Arial Narrow" w:hAnsi="Arial Narrow"/>
                <w:sz w:val="20"/>
                <w:szCs w:val="20"/>
              </w:rPr>
              <w:t>Committee,</w:t>
            </w:r>
            <w:proofErr w:type="gramEnd"/>
            <w:r w:rsidRPr="00750D79">
              <w:rPr>
                <w:rFonts w:ascii="Arial Narrow" w:hAnsi="Arial Narrow"/>
                <w:sz w:val="20"/>
                <w:szCs w:val="20"/>
              </w:rPr>
              <w:t xml:space="preserve"> and the APA and WCLIB members support the addition of the grading rules back to ANSI 117-2015 so that the glulam industry can have consensus-based grading rules.</w:t>
            </w:r>
          </w:p>
        </w:tc>
      </w:tr>
      <w:tr w:rsidR="002004EC" w:rsidRPr="00BC56C5" w:rsidTr="00DC48FB">
        <w:trPr>
          <w:cantSplit/>
          <w:tblHeader/>
        </w:trPr>
        <w:tc>
          <w:tcPr>
            <w:tcW w:w="1278" w:type="dxa"/>
            <w:shd w:val="clear" w:color="auto" w:fill="FFFFFF" w:themeFill="background1"/>
            <w:vAlign w:val="center"/>
          </w:tcPr>
          <w:p w:rsidR="002004EC" w:rsidRPr="00BC56C5" w:rsidRDefault="002004EC" w:rsidP="00DC48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004EC" w:rsidRPr="00BC56C5" w:rsidRDefault="002004EC" w:rsidP="00DC48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39" w:type="dxa"/>
            <w:tcBorders>
              <w:right w:val="single" w:sz="4" w:space="0" w:color="auto"/>
            </w:tcBorders>
            <w:vAlign w:val="center"/>
          </w:tcPr>
          <w:p w:rsidR="002004EC" w:rsidRPr="00234AC7" w:rsidRDefault="00750D79" w:rsidP="00DC48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comments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04EC" w:rsidRPr="00BC56C5" w:rsidRDefault="002004EC" w:rsidP="00234A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04EC" w:rsidRPr="00D66A48" w:rsidTr="00DC48FB">
        <w:trPr>
          <w:cantSplit/>
          <w:tblHeader/>
        </w:trPr>
        <w:tc>
          <w:tcPr>
            <w:tcW w:w="1278" w:type="dxa"/>
            <w:shd w:val="clear" w:color="auto" w:fill="C6D9F1" w:themeFill="text2" w:themeFillTint="33"/>
          </w:tcPr>
          <w:p w:rsidR="002004EC" w:rsidRDefault="002004EC" w:rsidP="00DC48FB">
            <w:pPr>
              <w:rPr>
                <w:rFonts w:ascii="Arial Narrow" w:hAnsi="Arial Narrow"/>
                <w:sz w:val="20"/>
                <w:szCs w:val="20"/>
              </w:rPr>
            </w:pPr>
            <w:r w:rsidRPr="006E185B">
              <w:rPr>
                <w:rFonts w:ascii="Arial Narrow" w:hAnsi="Arial Narrow"/>
                <w:sz w:val="20"/>
                <w:szCs w:val="20"/>
              </w:rPr>
              <w:t xml:space="preserve">Item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234AC7" w:rsidRPr="006E185B" w:rsidRDefault="00750D79" w:rsidP="00DC48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 Annex C</w:t>
            </w:r>
          </w:p>
        </w:tc>
        <w:tc>
          <w:tcPr>
            <w:tcW w:w="13338" w:type="dxa"/>
            <w:gridSpan w:val="3"/>
            <w:shd w:val="clear" w:color="auto" w:fill="C6D9F1" w:themeFill="text2" w:themeFillTint="33"/>
            <w:vAlign w:val="center"/>
          </w:tcPr>
          <w:p w:rsidR="00750D79" w:rsidRPr="00750D79" w:rsidRDefault="00750D79" w:rsidP="00750D79">
            <w:pPr>
              <w:rPr>
                <w:rFonts w:ascii="Arial Narrow" w:hAnsi="Arial Narrow"/>
                <w:sz w:val="20"/>
              </w:rPr>
            </w:pPr>
            <w:r w:rsidRPr="00750D79">
              <w:rPr>
                <w:rFonts w:ascii="Arial Narrow" w:hAnsi="Arial Narrow"/>
                <w:b/>
                <w:sz w:val="20"/>
              </w:rPr>
              <w:t>Add a new Annex C, as shown in</w:t>
            </w:r>
            <w:r w:rsidRPr="00750D79">
              <w:rPr>
                <w:rFonts w:ascii="Arial Narrow" w:hAnsi="Arial Narrow"/>
                <w:sz w:val="20"/>
              </w:rPr>
              <w:t xml:space="preserve"> </w:t>
            </w:r>
            <w:r w:rsidRPr="00750D79">
              <w:rPr>
                <w:rFonts w:ascii="Arial Narrow" w:hAnsi="Arial Narrow"/>
                <w:b/>
                <w:color w:val="FF0000"/>
                <w:sz w:val="20"/>
              </w:rPr>
              <w:t>Attachment B1</w:t>
            </w:r>
            <w:r w:rsidRPr="00750D79">
              <w:rPr>
                <w:rFonts w:ascii="Arial Narrow" w:hAnsi="Arial Narrow"/>
                <w:sz w:val="20"/>
              </w:rPr>
              <w:t>.</w:t>
            </w:r>
          </w:p>
          <w:p w:rsidR="002004EC" w:rsidRPr="00750D79" w:rsidRDefault="00750D79" w:rsidP="00750D79">
            <w:pPr>
              <w:rPr>
                <w:rFonts w:ascii="Arial Narrow" w:hAnsi="Arial Narrow"/>
                <w:sz w:val="20"/>
                <w:szCs w:val="20"/>
              </w:rPr>
            </w:pPr>
            <w:r w:rsidRPr="00750D79">
              <w:rPr>
                <w:rFonts w:ascii="Arial Narrow" w:hAnsi="Arial Narrow"/>
                <w:b/>
                <w:sz w:val="20"/>
                <w:szCs w:val="20"/>
              </w:rPr>
              <w:t>Rationale:</w:t>
            </w:r>
            <w:r w:rsidRPr="00750D79">
              <w:rPr>
                <w:rFonts w:ascii="Arial Narrow" w:hAnsi="Arial Narrow"/>
                <w:sz w:val="20"/>
                <w:szCs w:val="20"/>
              </w:rPr>
              <w:t xml:space="preserve"> See Rationale for Item 2 above.  The new annex to ANSI 117-2015 is the same as Annex C to AITC 117-2004 with only some minor editorial changes.  This annex is consistent with the current glulam industry practice.</w:t>
            </w:r>
          </w:p>
        </w:tc>
      </w:tr>
      <w:tr w:rsidR="002004EC" w:rsidRPr="00BC56C5" w:rsidTr="00DC48FB">
        <w:trPr>
          <w:cantSplit/>
          <w:tblHeader/>
        </w:trPr>
        <w:tc>
          <w:tcPr>
            <w:tcW w:w="1278" w:type="dxa"/>
            <w:shd w:val="clear" w:color="auto" w:fill="FFFFFF" w:themeFill="background1"/>
            <w:vAlign w:val="center"/>
          </w:tcPr>
          <w:p w:rsidR="002004EC" w:rsidRPr="00BC56C5" w:rsidRDefault="002004EC" w:rsidP="00DC48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004EC" w:rsidRPr="00BC56C5" w:rsidRDefault="002004EC" w:rsidP="00DC48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39" w:type="dxa"/>
            <w:tcBorders>
              <w:right w:val="single" w:sz="4" w:space="0" w:color="auto"/>
            </w:tcBorders>
            <w:vAlign w:val="center"/>
          </w:tcPr>
          <w:p w:rsidR="002004EC" w:rsidRPr="00C053A5" w:rsidRDefault="00750D79" w:rsidP="00750D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 comments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311" w:rsidRPr="00A923F3" w:rsidRDefault="00907311" w:rsidP="009073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04EC" w:rsidRPr="00D66A48" w:rsidTr="00DC48FB">
        <w:trPr>
          <w:cantSplit/>
          <w:tblHeader/>
        </w:trPr>
        <w:tc>
          <w:tcPr>
            <w:tcW w:w="1278" w:type="dxa"/>
            <w:shd w:val="clear" w:color="auto" w:fill="C6D9F1" w:themeFill="text2" w:themeFillTint="33"/>
          </w:tcPr>
          <w:p w:rsidR="002004EC" w:rsidRDefault="002004EC" w:rsidP="00DC48FB">
            <w:pPr>
              <w:rPr>
                <w:rFonts w:ascii="Arial Narrow" w:hAnsi="Arial Narrow"/>
                <w:sz w:val="20"/>
                <w:szCs w:val="20"/>
              </w:rPr>
            </w:pPr>
            <w:r w:rsidRPr="006E185B">
              <w:rPr>
                <w:rFonts w:ascii="Arial Narrow" w:hAnsi="Arial Narrow"/>
                <w:sz w:val="20"/>
                <w:szCs w:val="20"/>
              </w:rPr>
              <w:t xml:space="preserve">Item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C053A5" w:rsidRPr="006E185B" w:rsidRDefault="00750D79" w:rsidP="00DC48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Table 1 Expanded</w:t>
            </w:r>
          </w:p>
        </w:tc>
        <w:tc>
          <w:tcPr>
            <w:tcW w:w="13338" w:type="dxa"/>
            <w:gridSpan w:val="3"/>
            <w:shd w:val="clear" w:color="auto" w:fill="C6D9F1" w:themeFill="text2" w:themeFillTint="33"/>
            <w:vAlign w:val="center"/>
          </w:tcPr>
          <w:p w:rsidR="00750D79" w:rsidRPr="00750D79" w:rsidRDefault="00750D79" w:rsidP="00750D79">
            <w:pPr>
              <w:rPr>
                <w:rFonts w:ascii="Arial Narrow" w:hAnsi="Arial Narrow"/>
                <w:sz w:val="20"/>
              </w:rPr>
            </w:pPr>
            <w:r w:rsidRPr="00750D79">
              <w:rPr>
                <w:rFonts w:ascii="Arial Narrow" w:hAnsi="Arial Narrow"/>
                <w:b/>
                <w:sz w:val="20"/>
              </w:rPr>
              <w:t xml:space="preserve">Revise Table A1-Expanded, as shown in </w:t>
            </w:r>
            <w:r w:rsidRPr="00750D79">
              <w:rPr>
                <w:rFonts w:ascii="Arial Narrow" w:hAnsi="Arial Narrow"/>
                <w:b/>
                <w:color w:val="FF0000"/>
                <w:sz w:val="20"/>
              </w:rPr>
              <w:t>Attachment B2</w:t>
            </w:r>
            <w:r w:rsidRPr="00750D79">
              <w:rPr>
                <w:rFonts w:ascii="Arial Narrow" w:hAnsi="Arial Narrow"/>
                <w:sz w:val="20"/>
              </w:rPr>
              <w:t>.</w:t>
            </w:r>
          </w:p>
          <w:p w:rsidR="002004EC" w:rsidRPr="00750D79" w:rsidRDefault="00750D79" w:rsidP="00750D79">
            <w:pPr>
              <w:rPr>
                <w:rFonts w:ascii="Arial Narrow" w:hAnsi="Arial Narrow"/>
                <w:sz w:val="20"/>
                <w:szCs w:val="20"/>
              </w:rPr>
            </w:pPr>
            <w:r w:rsidRPr="00750D79">
              <w:rPr>
                <w:rFonts w:ascii="Arial Narrow" w:hAnsi="Arial Narrow"/>
                <w:b/>
                <w:sz w:val="20"/>
              </w:rPr>
              <w:t>Rationale:</w:t>
            </w:r>
            <w:r w:rsidRPr="00750D79">
              <w:rPr>
                <w:rFonts w:ascii="Arial Narrow" w:hAnsi="Arial Narrow"/>
                <w:sz w:val="20"/>
              </w:rPr>
              <w:t xml:space="preserve"> Add clarification to true (shear-free) E and apparent E.</w:t>
            </w:r>
          </w:p>
        </w:tc>
      </w:tr>
      <w:tr w:rsidR="002004EC" w:rsidRPr="00BC56C5" w:rsidTr="00DC48FB">
        <w:trPr>
          <w:cantSplit/>
          <w:tblHeader/>
        </w:trPr>
        <w:tc>
          <w:tcPr>
            <w:tcW w:w="1278" w:type="dxa"/>
            <w:shd w:val="clear" w:color="auto" w:fill="FFFFFF" w:themeFill="background1"/>
            <w:vAlign w:val="center"/>
          </w:tcPr>
          <w:p w:rsidR="002004EC" w:rsidRPr="00BC56C5" w:rsidRDefault="002004EC" w:rsidP="00DC48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004EC" w:rsidRPr="00BC56C5" w:rsidRDefault="002004EC" w:rsidP="00DC48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39" w:type="dxa"/>
            <w:tcBorders>
              <w:right w:val="single" w:sz="4" w:space="0" w:color="auto"/>
            </w:tcBorders>
            <w:vAlign w:val="center"/>
          </w:tcPr>
          <w:p w:rsidR="002004EC" w:rsidRPr="002004EC" w:rsidRDefault="00750D79" w:rsidP="00DC48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comments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04EC" w:rsidRPr="00BC56C5" w:rsidRDefault="002004EC" w:rsidP="00DC48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04EC" w:rsidRPr="00D66A48" w:rsidTr="00DC48FB">
        <w:trPr>
          <w:cantSplit/>
          <w:tblHeader/>
        </w:trPr>
        <w:tc>
          <w:tcPr>
            <w:tcW w:w="1278" w:type="dxa"/>
            <w:shd w:val="clear" w:color="auto" w:fill="C6D9F1" w:themeFill="text2" w:themeFillTint="33"/>
          </w:tcPr>
          <w:p w:rsidR="002004EC" w:rsidRDefault="002004EC" w:rsidP="00DC48FB">
            <w:pPr>
              <w:rPr>
                <w:rFonts w:ascii="Arial Narrow" w:hAnsi="Arial Narrow"/>
                <w:sz w:val="20"/>
                <w:szCs w:val="20"/>
              </w:rPr>
            </w:pPr>
            <w:r w:rsidRPr="006E185B">
              <w:rPr>
                <w:rFonts w:ascii="Arial Narrow" w:hAnsi="Arial Narrow"/>
                <w:sz w:val="20"/>
                <w:szCs w:val="20"/>
              </w:rPr>
              <w:t xml:space="preserve">Item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C053A5" w:rsidRPr="006E185B" w:rsidRDefault="00750D79" w:rsidP="00DC48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References</w:t>
            </w:r>
          </w:p>
        </w:tc>
        <w:tc>
          <w:tcPr>
            <w:tcW w:w="13338" w:type="dxa"/>
            <w:gridSpan w:val="3"/>
            <w:shd w:val="clear" w:color="auto" w:fill="C6D9F1" w:themeFill="text2" w:themeFillTint="33"/>
            <w:vAlign w:val="center"/>
          </w:tcPr>
          <w:p w:rsidR="00750D79" w:rsidRPr="00750D79" w:rsidRDefault="00750D79" w:rsidP="00750D79">
            <w:pPr>
              <w:rPr>
                <w:rFonts w:ascii="Arial Narrow" w:hAnsi="Arial Narrow"/>
                <w:sz w:val="20"/>
              </w:rPr>
            </w:pPr>
            <w:r w:rsidRPr="00750D79">
              <w:rPr>
                <w:rFonts w:ascii="Arial Narrow" w:hAnsi="Arial Narrow"/>
                <w:b/>
                <w:sz w:val="20"/>
              </w:rPr>
              <w:t xml:space="preserve">Revise References, as shown in </w:t>
            </w:r>
            <w:r w:rsidRPr="00750D79">
              <w:rPr>
                <w:rFonts w:ascii="Arial Narrow" w:hAnsi="Arial Narrow"/>
                <w:b/>
                <w:color w:val="FF0000"/>
                <w:sz w:val="20"/>
              </w:rPr>
              <w:t>Attachment B3</w:t>
            </w:r>
            <w:r w:rsidRPr="00750D79">
              <w:rPr>
                <w:rFonts w:ascii="Arial Narrow" w:hAnsi="Arial Narrow"/>
                <w:sz w:val="20"/>
              </w:rPr>
              <w:t>.</w:t>
            </w:r>
          </w:p>
          <w:p w:rsidR="002004EC" w:rsidRPr="00750D79" w:rsidRDefault="00750D79" w:rsidP="00750D79">
            <w:pPr>
              <w:rPr>
                <w:rFonts w:ascii="Arial Narrow" w:hAnsi="Arial Narrow"/>
                <w:sz w:val="20"/>
                <w:szCs w:val="20"/>
              </w:rPr>
            </w:pPr>
            <w:r w:rsidRPr="00750D79">
              <w:rPr>
                <w:rFonts w:ascii="Arial Narrow" w:hAnsi="Arial Narrow"/>
                <w:b/>
                <w:sz w:val="20"/>
              </w:rPr>
              <w:t>Rationale:</w:t>
            </w:r>
            <w:r w:rsidRPr="00750D79">
              <w:rPr>
                <w:rFonts w:ascii="Arial Narrow" w:hAnsi="Arial Narrow"/>
                <w:sz w:val="20"/>
              </w:rPr>
              <w:t xml:space="preserve"> Update the references for the new Annex C.</w:t>
            </w:r>
          </w:p>
        </w:tc>
      </w:tr>
      <w:tr w:rsidR="002004EC" w:rsidRPr="00BC56C5" w:rsidTr="00DC48FB">
        <w:trPr>
          <w:cantSplit/>
          <w:tblHeader/>
        </w:trPr>
        <w:tc>
          <w:tcPr>
            <w:tcW w:w="1278" w:type="dxa"/>
            <w:shd w:val="clear" w:color="auto" w:fill="FFFFFF" w:themeFill="background1"/>
            <w:vAlign w:val="center"/>
          </w:tcPr>
          <w:p w:rsidR="002004EC" w:rsidRPr="00BC56C5" w:rsidRDefault="002004EC" w:rsidP="00DC48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004EC" w:rsidRPr="00BC56C5" w:rsidRDefault="002004EC" w:rsidP="00DC48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39" w:type="dxa"/>
            <w:tcBorders>
              <w:right w:val="single" w:sz="4" w:space="0" w:color="auto"/>
            </w:tcBorders>
            <w:vAlign w:val="center"/>
          </w:tcPr>
          <w:p w:rsidR="002004EC" w:rsidRPr="00C053A5" w:rsidRDefault="00750D79" w:rsidP="00C05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comments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04EC" w:rsidRPr="00BC56C5" w:rsidRDefault="002004EC" w:rsidP="00EA1F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04EC" w:rsidRPr="00D66A48" w:rsidTr="00DC48FB">
        <w:trPr>
          <w:cantSplit/>
          <w:tblHeader/>
        </w:trPr>
        <w:tc>
          <w:tcPr>
            <w:tcW w:w="1278" w:type="dxa"/>
            <w:shd w:val="clear" w:color="auto" w:fill="C6D9F1" w:themeFill="text2" w:themeFillTint="33"/>
          </w:tcPr>
          <w:p w:rsidR="002004EC" w:rsidRDefault="002004EC" w:rsidP="00DC48FB">
            <w:pPr>
              <w:rPr>
                <w:rFonts w:ascii="Arial Narrow" w:hAnsi="Arial Narrow"/>
                <w:sz w:val="20"/>
                <w:szCs w:val="20"/>
              </w:rPr>
            </w:pPr>
            <w:r w:rsidRPr="006E185B">
              <w:rPr>
                <w:rFonts w:ascii="Arial Narrow" w:hAnsi="Arial Narrow"/>
                <w:sz w:val="20"/>
                <w:szCs w:val="20"/>
              </w:rPr>
              <w:t xml:space="preserve">Item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586BC1" w:rsidRPr="006E185B" w:rsidRDefault="00750D79" w:rsidP="00DC48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Section 1.2</w:t>
            </w:r>
          </w:p>
        </w:tc>
        <w:tc>
          <w:tcPr>
            <w:tcW w:w="13338" w:type="dxa"/>
            <w:gridSpan w:val="3"/>
            <w:shd w:val="clear" w:color="auto" w:fill="C6D9F1" w:themeFill="text2" w:themeFillTint="33"/>
            <w:vAlign w:val="center"/>
          </w:tcPr>
          <w:p w:rsidR="00750D79" w:rsidRPr="00750D79" w:rsidRDefault="00750D79" w:rsidP="00750D79">
            <w:pPr>
              <w:rPr>
                <w:rFonts w:ascii="Arial Narrow" w:hAnsi="Arial Narrow" w:cs="Arial"/>
                <w:sz w:val="20"/>
              </w:rPr>
            </w:pPr>
            <w:r w:rsidRPr="00750D79">
              <w:rPr>
                <w:rFonts w:ascii="Arial Narrow" w:hAnsi="Arial Narrow" w:cs="Arial"/>
                <w:b/>
                <w:sz w:val="20"/>
              </w:rPr>
              <w:t>Revise the table in Section 1.2, as shown in</w:t>
            </w:r>
            <w:r w:rsidRPr="00750D79">
              <w:rPr>
                <w:rFonts w:ascii="Arial Narrow" w:hAnsi="Arial Narrow" w:cs="Arial"/>
                <w:sz w:val="20"/>
              </w:rPr>
              <w:t xml:space="preserve"> </w:t>
            </w:r>
            <w:r w:rsidRPr="00750D79">
              <w:rPr>
                <w:rFonts w:ascii="Arial Narrow" w:hAnsi="Arial Narrow" w:cs="Arial"/>
                <w:b/>
                <w:color w:val="FF0000"/>
                <w:sz w:val="20"/>
              </w:rPr>
              <w:t>Attachment B4</w:t>
            </w:r>
            <w:r w:rsidRPr="00750D79">
              <w:rPr>
                <w:rFonts w:ascii="Arial Narrow" w:hAnsi="Arial Narrow" w:cs="Arial"/>
                <w:sz w:val="20"/>
              </w:rPr>
              <w:t>.</w:t>
            </w:r>
          </w:p>
          <w:p w:rsidR="002004EC" w:rsidRPr="00750D79" w:rsidRDefault="00750D79" w:rsidP="00750D79">
            <w:pPr>
              <w:rPr>
                <w:rFonts w:ascii="Arial Narrow" w:hAnsi="Arial Narrow"/>
                <w:sz w:val="20"/>
                <w:szCs w:val="20"/>
              </w:rPr>
            </w:pPr>
            <w:r w:rsidRPr="00750D79">
              <w:rPr>
                <w:rFonts w:ascii="Arial Narrow" w:hAnsi="Arial Narrow" w:cs="Arial"/>
                <w:b/>
                <w:sz w:val="20"/>
              </w:rPr>
              <w:t>Rationale</w:t>
            </w:r>
            <w:r w:rsidRPr="00750D79">
              <w:rPr>
                <w:rFonts w:ascii="Arial Narrow" w:hAnsi="Arial Narrow" w:cs="Arial"/>
                <w:sz w:val="20"/>
              </w:rPr>
              <w:t>: Based on the recommendation from WCLIB.</w:t>
            </w:r>
          </w:p>
        </w:tc>
      </w:tr>
      <w:tr w:rsidR="002004EC" w:rsidRPr="00BC56C5" w:rsidTr="00DC48FB">
        <w:trPr>
          <w:cantSplit/>
          <w:tblHeader/>
        </w:trPr>
        <w:tc>
          <w:tcPr>
            <w:tcW w:w="1278" w:type="dxa"/>
            <w:shd w:val="clear" w:color="auto" w:fill="FFFFFF" w:themeFill="background1"/>
            <w:vAlign w:val="center"/>
          </w:tcPr>
          <w:p w:rsidR="002004EC" w:rsidRPr="00BC56C5" w:rsidRDefault="002004EC" w:rsidP="00DC48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004EC" w:rsidRPr="00BC56C5" w:rsidRDefault="002004EC" w:rsidP="00DC48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39" w:type="dxa"/>
            <w:tcBorders>
              <w:right w:val="single" w:sz="4" w:space="0" w:color="auto"/>
            </w:tcBorders>
            <w:vAlign w:val="center"/>
          </w:tcPr>
          <w:p w:rsidR="002004EC" w:rsidRPr="002004EC" w:rsidRDefault="00750D79" w:rsidP="00DC48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comments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04EC" w:rsidRPr="00BC56C5" w:rsidRDefault="002004EC" w:rsidP="00DC48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52C9B" w:rsidRDefault="00952C9B" w:rsidP="001603E1"/>
    <w:sectPr w:rsidR="00952C9B" w:rsidSect="00747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E0" w:rsidRDefault="00E53CE0" w:rsidP="0087283F">
      <w:r>
        <w:separator/>
      </w:r>
    </w:p>
  </w:endnote>
  <w:endnote w:type="continuationSeparator" w:id="0">
    <w:p w:rsidR="00E53CE0" w:rsidRDefault="00E53CE0" w:rsidP="0087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9" w:rsidRDefault="00CC7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9" w:rsidRDefault="00CC7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9" w:rsidRDefault="00CC7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E0" w:rsidRDefault="00E53CE0" w:rsidP="0087283F">
      <w:r>
        <w:separator/>
      </w:r>
    </w:p>
  </w:footnote>
  <w:footnote w:type="continuationSeparator" w:id="0">
    <w:p w:rsidR="00E53CE0" w:rsidRDefault="00E53CE0" w:rsidP="0087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9" w:rsidRDefault="00CC7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BA" w:rsidRPr="00506EDE" w:rsidRDefault="00B166BA" w:rsidP="0087283F">
    <w:pPr>
      <w:jc w:val="center"/>
      <w:rPr>
        <w:sz w:val="20"/>
        <w:szCs w:val="20"/>
      </w:rPr>
    </w:pPr>
    <w:r w:rsidRPr="00506EDE">
      <w:rPr>
        <w:sz w:val="20"/>
        <w:szCs w:val="20"/>
      </w:rPr>
      <w:t>ANSI</w:t>
    </w:r>
    <w:r w:rsidR="00364FC8">
      <w:rPr>
        <w:sz w:val="20"/>
        <w:szCs w:val="20"/>
      </w:rPr>
      <w:t xml:space="preserve"> </w:t>
    </w:r>
    <w:r w:rsidR="00D25ADC">
      <w:rPr>
        <w:sz w:val="20"/>
        <w:szCs w:val="20"/>
      </w:rPr>
      <w:t>117</w:t>
    </w:r>
    <w:r w:rsidRPr="00506EDE">
      <w:rPr>
        <w:sz w:val="20"/>
        <w:szCs w:val="20"/>
      </w:rPr>
      <w:t xml:space="preserve"> Ballot #</w:t>
    </w:r>
    <w:r w:rsidR="00750D79">
      <w:rPr>
        <w:sz w:val="20"/>
        <w:szCs w:val="20"/>
      </w:rPr>
      <w:t>2</w:t>
    </w:r>
    <w:r>
      <w:rPr>
        <w:sz w:val="20"/>
        <w:szCs w:val="20"/>
      </w:rPr>
      <w:t xml:space="preserve"> (Closed </w:t>
    </w:r>
    <w:r w:rsidR="00750D79">
      <w:rPr>
        <w:sz w:val="20"/>
        <w:szCs w:val="20"/>
      </w:rPr>
      <w:t>February 6, 2015</w:t>
    </w:r>
    <w:r>
      <w:rPr>
        <w:sz w:val="20"/>
        <w:szCs w:val="20"/>
      </w:rPr>
      <w:t>)</w:t>
    </w:r>
  </w:p>
  <w:p w:rsidR="00B166BA" w:rsidRDefault="00B166BA" w:rsidP="00F149D2">
    <w:pPr>
      <w:jc w:val="center"/>
      <w:rPr>
        <w:sz w:val="20"/>
        <w:szCs w:val="20"/>
      </w:rPr>
    </w:pPr>
    <w:r>
      <w:rPr>
        <w:sz w:val="20"/>
        <w:szCs w:val="20"/>
      </w:rPr>
      <w:t>Summary of Comments and Proposed Responses (PE = Persuasive Editorial; PS = Persuasive Substantial; NA = No Action; TBD = To Be Determined)</w:t>
    </w:r>
  </w:p>
  <w:p w:rsidR="00B166BA" w:rsidRPr="00506EDE" w:rsidRDefault="00750D79" w:rsidP="00E337E1">
    <w:pPr>
      <w:tabs>
        <w:tab w:val="right" w:pos="14400"/>
      </w:tabs>
      <w:rPr>
        <w:sz w:val="20"/>
        <w:szCs w:val="20"/>
      </w:rPr>
    </w:pPr>
    <w:r>
      <w:rPr>
        <w:sz w:val="20"/>
        <w:szCs w:val="20"/>
      </w:rPr>
      <w:t>February</w:t>
    </w:r>
    <w:r w:rsidR="00DC2F4C">
      <w:rPr>
        <w:sz w:val="20"/>
        <w:szCs w:val="20"/>
      </w:rPr>
      <w:t xml:space="preserve"> </w:t>
    </w:r>
    <w:r w:rsidR="00CC7869">
      <w:rPr>
        <w:sz w:val="20"/>
        <w:szCs w:val="20"/>
      </w:rPr>
      <w:t>12</w:t>
    </w:r>
    <w:bookmarkStart w:id="0" w:name="_GoBack"/>
    <w:bookmarkEnd w:id="0"/>
    <w:r w:rsidR="00D25ADC">
      <w:rPr>
        <w:sz w:val="20"/>
        <w:szCs w:val="20"/>
      </w:rPr>
      <w:t>, 201</w:t>
    </w:r>
    <w:r>
      <w:rPr>
        <w:sz w:val="20"/>
        <w:szCs w:val="20"/>
      </w:rPr>
      <w:t>5</w:t>
    </w:r>
    <w:r w:rsidR="00B166BA">
      <w:rPr>
        <w:sz w:val="20"/>
        <w:szCs w:val="20"/>
      </w:rPr>
      <w:tab/>
    </w:r>
    <w:sdt>
      <w:sdtPr>
        <w:rPr>
          <w:sz w:val="20"/>
          <w:szCs w:val="20"/>
        </w:rPr>
        <w:id w:val="107597197"/>
        <w:docPartObj>
          <w:docPartGallery w:val="Page Numbers (Top of Page)"/>
          <w:docPartUnique/>
        </w:docPartObj>
      </w:sdtPr>
      <w:sdtEndPr/>
      <w:sdtContent>
        <w:r w:rsidR="00B166BA" w:rsidRPr="0087283F">
          <w:rPr>
            <w:sz w:val="20"/>
            <w:szCs w:val="20"/>
          </w:rPr>
          <w:t xml:space="preserve">Page </w:t>
        </w:r>
        <w:r w:rsidR="000A636B" w:rsidRPr="0087283F">
          <w:rPr>
            <w:sz w:val="20"/>
            <w:szCs w:val="20"/>
          </w:rPr>
          <w:fldChar w:fldCharType="begin"/>
        </w:r>
        <w:r w:rsidR="00B166BA" w:rsidRPr="0087283F">
          <w:rPr>
            <w:sz w:val="20"/>
            <w:szCs w:val="20"/>
          </w:rPr>
          <w:instrText xml:space="preserve"> PAGE </w:instrText>
        </w:r>
        <w:r w:rsidR="000A636B" w:rsidRPr="0087283F">
          <w:rPr>
            <w:sz w:val="20"/>
            <w:szCs w:val="20"/>
          </w:rPr>
          <w:fldChar w:fldCharType="separate"/>
        </w:r>
        <w:r w:rsidR="00CC7869">
          <w:rPr>
            <w:noProof/>
            <w:sz w:val="20"/>
            <w:szCs w:val="20"/>
          </w:rPr>
          <w:t>1</w:t>
        </w:r>
        <w:r w:rsidR="000A636B" w:rsidRPr="0087283F">
          <w:rPr>
            <w:sz w:val="20"/>
            <w:szCs w:val="20"/>
          </w:rPr>
          <w:fldChar w:fldCharType="end"/>
        </w:r>
        <w:r w:rsidR="00B166BA" w:rsidRPr="0087283F">
          <w:rPr>
            <w:sz w:val="20"/>
            <w:szCs w:val="20"/>
          </w:rPr>
          <w:t xml:space="preserve"> of </w:t>
        </w:r>
        <w:r w:rsidR="000A636B" w:rsidRPr="0087283F">
          <w:rPr>
            <w:sz w:val="20"/>
            <w:szCs w:val="20"/>
          </w:rPr>
          <w:fldChar w:fldCharType="begin"/>
        </w:r>
        <w:r w:rsidR="00B166BA" w:rsidRPr="0087283F">
          <w:rPr>
            <w:sz w:val="20"/>
            <w:szCs w:val="20"/>
          </w:rPr>
          <w:instrText xml:space="preserve"> NUMPAGES  </w:instrText>
        </w:r>
        <w:r w:rsidR="000A636B" w:rsidRPr="0087283F">
          <w:rPr>
            <w:sz w:val="20"/>
            <w:szCs w:val="20"/>
          </w:rPr>
          <w:fldChar w:fldCharType="separate"/>
        </w:r>
        <w:r w:rsidR="00CC7869">
          <w:rPr>
            <w:noProof/>
            <w:sz w:val="20"/>
            <w:szCs w:val="20"/>
          </w:rPr>
          <w:t>1</w:t>
        </w:r>
        <w:r w:rsidR="000A636B" w:rsidRPr="0087283F">
          <w:rPr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9" w:rsidRDefault="00CC7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7446A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ind w:left="2880" w:hanging="720"/>
      </w:pPr>
      <w:rPr>
        <w:rFonts w:hint="default"/>
      </w:rPr>
    </w:lvl>
  </w:abstractNum>
  <w:abstractNum w:abstractNumId="1">
    <w:nsid w:val="095A0182"/>
    <w:multiLevelType w:val="hybridMultilevel"/>
    <w:tmpl w:val="18968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14D16"/>
    <w:multiLevelType w:val="hybridMultilevel"/>
    <w:tmpl w:val="DF42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6A6C"/>
    <w:multiLevelType w:val="multilevel"/>
    <w:tmpl w:val="F71222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391E2C"/>
    <w:multiLevelType w:val="hybridMultilevel"/>
    <w:tmpl w:val="E048DE6E"/>
    <w:lvl w:ilvl="0" w:tplc="AF3884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257BF"/>
    <w:multiLevelType w:val="hybridMultilevel"/>
    <w:tmpl w:val="1E76D7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F6328B"/>
    <w:multiLevelType w:val="multilevel"/>
    <w:tmpl w:val="6A38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2991D71"/>
    <w:multiLevelType w:val="hybridMultilevel"/>
    <w:tmpl w:val="5E36D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51478"/>
    <w:multiLevelType w:val="hybridMultilevel"/>
    <w:tmpl w:val="FB5A5834"/>
    <w:lvl w:ilvl="0" w:tplc="85CA26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6088F"/>
    <w:multiLevelType w:val="multilevel"/>
    <w:tmpl w:val="0A407E1A"/>
    <w:lvl w:ilvl="0">
      <w:start w:val="1"/>
      <w:numFmt w:val="decimal"/>
      <w:lvlText w:val="40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05.%1.%2."/>
      <w:lvlJc w:val="left"/>
      <w:pPr>
        <w:tabs>
          <w:tab w:val="num" w:pos="50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DE"/>
    <w:rsid w:val="00013C6E"/>
    <w:rsid w:val="000216F2"/>
    <w:rsid w:val="000334CE"/>
    <w:rsid w:val="00050E3E"/>
    <w:rsid w:val="000722D5"/>
    <w:rsid w:val="00072786"/>
    <w:rsid w:val="00084F57"/>
    <w:rsid w:val="00085570"/>
    <w:rsid w:val="0008698B"/>
    <w:rsid w:val="00093394"/>
    <w:rsid w:val="000A438B"/>
    <w:rsid w:val="000A636B"/>
    <w:rsid w:val="000A63BC"/>
    <w:rsid w:val="000E088F"/>
    <w:rsid w:val="0010292A"/>
    <w:rsid w:val="001161E0"/>
    <w:rsid w:val="00120A35"/>
    <w:rsid w:val="0012329B"/>
    <w:rsid w:val="00125A29"/>
    <w:rsid w:val="00131A79"/>
    <w:rsid w:val="00140ECB"/>
    <w:rsid w:val="001575B5"/>
    <w:rsid w:val="001603E1"/>
    <w:rsid w:val="00162AEF"/>
    <w:rsid w:val="00173CE4"/>
    <w:rsid w:val="00184D6B"/>
    <w:rsid w:val="001917BA"/>
    <w:rsid w:val="001A13DB"/>
    <w:rsid w:val="001A5FC9"/>
    <w:rsid w:val="001A767C"/>
    <w:rsid w:val="001A77B3"/>
    <w:rsid w:val="001B1C7E"/>
    <w:rsid w:val="001C172E"/>
    <w:rsid w:val="001E7F46"/>
    <w:rsid w:val="001F7887"/>
    <w:rsid w:val="002004EC"/>
    <w:rsid w:val="0021612C"/>
    <w:rsid w:val="002167C7"/>
    <w:rsid w:val="00221ACA"/>
    <w:rsid w:val="00221BF5"/>
    <w:rsid w:val="00223E9D"/>
    <w:rsid w:val="00227183"/>
    <w:rsid w:val="00234AC7"/>
    <w:rsid w:val="00250A70"/>
    <w:rsid w:val="00252906"/>
    <w:rsid w:val="00270A92"/>
    <w:rsid w:val="00275F4C"/>
    <w:rsid w:val="00280234"/>
    <w:rsid w:val="00290ABD"/>
    <w:rsid w:val="002A0B84"/>
    <w:rsid w:val="002A7E83"/>
    <w:rsid w:val="002B2E5F"/>
    <w:rsid w:val="002D6D36"/>
    <w:rsid w:val="002E3772"/>
    <w:rsid w:val="002E63E8"/>
    <w:rsid w:val="002E6F6F"/>
    <w:rsid w:val="00306E92"/>
    <w:rsid w:val="00307F17"/>
    <w:rsid w:val="0032650D"/>
    <w:rsid w:val="00336908"/>
    <w:rsid w:val="003464C9"/>
    <w:rsid w:val="00351865"/>
    <w:rsid w:val="003607B5"/>
    <w:rsid w:val="003613A2"/>
    <w:rsid w:val="00364FC8"/>
    <w:rsid w:val="003A18C2"/>
    <w:rsid w:val="003A1F2C"/>
    <w:rsid w:val="003A47CB"/>
    <w:rsid w:val="003B4C41"/>
    <w:rsid w:val="003B50F6"/>
    <w:rsid w:val="003C38A1"/>
    <w:rsid w:val="003C7472"/>
    <w:rsid w:val="003D7485"/>
    <w:rsid w:val="003D76E6"/>
    <w:rsid w:val="003F127F"/>
    <w:rsid w:val="003F4BDF"/>
    <w:rsid w:val="0041509D"/>
    <w:rsid w:val="00453F96"/>
    <w:rsid w:val="00463280"/>
    <w:rsid w:val="004747A6"/>
    <w:rsid w:val="00474D50"/>
    <w:rsid w:val="00474D57"/>
    <w:rsid w:val="00481424"/>
    <w:rsid w:val="004A2B93"/>
    <w:rsid w:val="004A582C"/>
    <w:rsid w:val="004B3916"/>
    <w:rsid w:val="004B6FBB"/>
    <w:rsid w:val="004B74F1"/>
    <w:rsid w:val="004C0906"/>
    <w:rsid w:val="00506EDE"/>
    <w:rsid w:val="00510DA7"/>
    <w:rsid w:val="005116F7"/>
    <w:rsid w:val="00512DC0"/>
    <w:rsid w:val="005171D2"/>
    <w:rsid w:val="005204FF"/>
    <w:rsid w:val="005205C9"/>
    <w:rsid w:val="005244EF"/>
    <w:rsid w:val="005248B9"/>
    <w:rsid w:val="005275DD"/>
    <w:rsid w:val="005440B5"/>
    <w:rsid w:val="005526E1"/>
    <w:rsid w:val="00560A68"/>
    <w:rsid w:val="00584381"/>
    <w:rsid w:val="00586BC1"/>
    <w:rsid w:val="0059554F"/>
    <w:rsid w:val="005D6FBD"/>
    <w:rsid w:val="005E0FD6"/>
    <w:rsid w:val="005F62BF"/>
    <w:rsid w:val="00617A80"/>
    <w:rsid w:val="00631BA2"/>
    <w:rsid w:val="0063249F"/>
    <w:rsid w:val="006378B2"/>
    <w:rsid w:val="00645CA6"/>
    <w:rsid w:val="0064737D"/>
    <w:rsid w:val="00650889"/>
    <w:rsid w:val="00673F5E"/>
    <w:rsid w:val="00686FFA"/>
    <w:rsid w:val="006A0D1E"/>
    <w:rsid w:val="006A2D23"/>
    <w:rsid w:val="006A5E95"/>
    <w:rsid w:val="006B082D"/>
    <w:rsid w:val="006B08A2"/>
    <w:rsid w:val="006B546E"/>
    <w:rsid w:val="006D76E8"/>
    <w:rsid w:val="006D7CC2"/>
    <w:rsid w:val="006E185B"/>
    <w:rsid w:val="006E210B"/>
    <w:rsid w:val="006F61B9"/>
    <w:rsid w:val="007012A0"/>
    <w:rsid w:val="00711602"/>
    <w:rsid w:val="00736F5A"/>
    <w:rsid w:val="00745904"/>
    <w:rsid w:val="0074762F"/>
    <w:rsid w:val="00750D79"/>
    <w:rsid w:val="00762D8F"/>
    <w:rsid w:val="007B15A3"/>
    <w:rsid w:val="008563D8"/>
    <w:rsid w:val="0087283F"/>
    <w:rsid w:val="00883297"/>
    <w:rsid w:val="008876C1"/>
    <w:rsid w:val="008D4B61"/>
    <w:rsid w:val="008E7A92"/>
    <w:rsid w:val="008F0239"/>
    <w:rsid w:val="008F58F4"/>
    <w:rsid w:val="0090275C"/>
    <w:rsid w:val="00907311"/>
    <w:rsid w:val="00911C5B"/>
    <w:rsid w:val="00914DB1"/>
    <w:rsid w:val="00926068"/>
    <w:rsid w:val="009300F5"/>
    <w:rsid w:val="00936A26"/>
    <w:rsid w:val="00951C92"/>
    <w:rsid w:val="00952C9B"/>
    <w:rsid w:val="009539BE"/>
    <w:rsid w:val="00962D2E"/>
    <w:rsid w:val="0097787C"/>
    <w:rsid w:val="0098401C"/>
    <w:rsid w:val="00995C28"/>
    <w:rsid w:val="009C57AD"/>
    <w:rsid w:val="009F176B"/>
    <w:rsid w:val="00A009BE"/>
    <w:rsid w:val="00A01C26"/>
    <w:rsid w:val="00A15979"/>
    <w:rsid w:val="00A17791"/>
    <w:rsid w:val="00A270EB"/>
    <w:rsid w:val="00A339A9"/>
    <w:rsid w:val="00A468BF"/>
    <w:rsid w:val="00A52F7B"/>
    <w:rsid w:val="00A542DA"/>
    <w:rsid w:val="00A57B08"/>
    <w:rsid w:val="00A74760"/>
    <w:rsid w:val="00A91497"/>
    <w:rsid w:val="00A923F3"/>
    <w:rsid w:val="00A94552"/>
    <w:rsid w:val="00AB4C68"/>
    <w:rsid w:val="00AC18D4"/>
    <w:rsid w:val="00AC1EA9"/>
    <w:rsid w:val="00AC6867"/>
    <w:rsid w:val="00AC770D"/>
    <w:rsid w:val="00AD0749"/>
    <w:rsid w:val="00AD26CC"/>
    <w:rsid w:val="00AF170D"/>
    <w:rsid w:val="00B067ED"/>
    <w:rsid w:val="00B06FB6"/>
    <w:rsid w:val="00B10359"/>
    <w:rsid w:val="00B15EDC"/>
    <w:rsid w:val="00B166BA"/>
    <w:rsid w:val="00B30056"/>
    <w:rsid w:val="00B33DC3"/>
    <w:rsid w:val="00B4133E"/>
    <w:rsid w:val="00B46018"/>
    <w:rsid w:val="00B62A5F"/>
    <w:rsid w:val="00B76ADC"/>
    <w:rsid w:val="00B83D60"/>
    <w:rsid w:val="00B873A2"/>
    <w:rsid w:val="00BA75FE"/>
    <w:rsid w:val="00BC56C5"/>
    <w:rsid w:val="00BD7770"/>
    <w:rsid w:val="00BE7D3E"/>
    <w:rsid w:val="00BF7303"/>
    <w:rsid w:val="00C03635"/>
    <w:rsid w:val="00C053A5"/>
    <w:rsid w:val="00C100FF"/>
    <w:rsid w:val="00C22B34"/>
    <w:rsid w:val="00C40844"/>
    <w:rsid w:val="00C417EF"/>
    <w:rsid w:val="00C46458"/>
    <w:rsid w:val="00C83821"/>
    <w:rsid w:val="00C9153C"/>
    <w:rsid w:val="00C91E0C"/>
    <w:rsid w:val="00C95668"/>
    <w:rsid w:val="00CA4270"/>
    <w:rsid w:val="00CB0C39"/>
    <w:rsid w:val="00CB2572"/>
    <w:rsid w:val="00CC612F"/>
    <w:rsid w:val="00CC7869"/>
    <w:rsid w:val="00CD5192"/>
    <w:rsid w:val="00CE03C1"/>
    <w:rsid w:val="00CE46FA"/>
    <w:rsid w:val="00CF28E9"/>
    <w:rsid w:val="00D06172"/>
    <w:rsid w:val="00D12A0A"/>
    <w:rsid w:val="00D13448"/>
    <w:rsid w:val="00D25ADC"/>
    <w:rsid w:val="00D34878"/>
    <w:rsid w:val="00D37494"/>
    <w:rsid w:val="00D37B8B"/>
    <w:rsid w:val="00D66A48"/>
    <w:rsid w:val="00D80834"/>
    <w:rsid w:val="00D97EB7"/>
    <w:rsid w:val="00DB1848"/>
    <w:rsid w:val="00DC2F4C"/>
    <w:rsid w:val="00DD2C04"/>
    <w:rsid w:val="00DD6F19"/>
    <w:rsid w:val="00DF63A2"/>
    <w:rsid w:val="00E00FEC"/>
    <w:rsid w:val="00E05D57"/>
    <w:rsid w:val="00E17A3D"/>
    <w:rsid w:val="00E337E1"/>
    <w:rsid w:val="00E369ED"/>
    <w:rsid w:val="00E408FB"/>
    <w:rsid w:val="00E42D87"/>
    <w:rsid w:val="00E44629"/>
    <w:rsid w:val="00E46BE9"/>
    <w:rsid w:val="00E50FA1"/>
    <w:rsid w:val="00E51DCE"/>
    <w:rsid w:val="00E53CE0"/>
    <w:rsid w:val="00E6025C"/>
    <w:rsid w:val="00E653E3"/>
    <w:rsid w:val="00E72E4D"/>
    <w:rsid w:val="00E7577D"/>
    <w:rsid w:val="00E762BD"/>
    <w:rsid w:val="00E770FE"/>
    <w:rsid w:val="00EA1FD2"/>
    <w:rsid w:val="00EC43E2"/>
    <w:rsid w:val="00EC47BA"/>
    <w:rsid w:val="00EE4026"/>
    <w:rsid w:val="00EE56A3"/>
    <w:rsid w:val="00EE734E"/>
    <w:rsid w:val="00EF4F13"/>
    <w:rsid w:val="00EF6234"/>
    <w:rsid w:val="00F03D9F"/>
    <w:rsid w:val="00F149D2"/>
    <w:rsid w:val="00F33883"/>
    <w:rsid w:val="00F82C46"/>
    <w:rsid w:val="00FA28E7"/>
    <w:rsid w:val="00FC5367"/>
    <w:rsid w:val="00FD07B2"/>
    <w:rsid w:val="00FD0D86"/>
    <w:rsid w:val="00FD1E40"/>
    <w:rsid w:val="00FD7B51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A7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BE7D3E"/>
    <w:pPr>
      <w:keepNext/>
      <w:numPr>
        <w:numId w:val="5"/>
      </w:numPr>
      <w:spacing w:line="22" w:lineRule="atLeast"/>
      <w:outlineLvl w:val="0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link w:val="Heading2Char"/>
    <w:qFormat/>
    <w:rsid w:val="00BE7D3E"/>
    <w:pPr>
      <w:numPr>
        <w:ilvl w:val="1"/>
        <w:numId w:val="5"/>
      </w:numPr>
      <w:spacing w:line="22" w:lineRule="atLeast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link w:val="Heading3Char"/>
    <w:qFormat/>
    <w:rsid w:val="00BE7D3E"/>
    <w:pPr>
      <w:numPr>
        <w:ilvl w:val="2"/>
        <w:numId w:val="5"/>
      </w:numPr>
      <w:spacing w:line="22" w:lineRule="atLeast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link w:val="Heading4Char"/>
    <w:qFormat/>
    <w:rsid w:val="00BE7D3E"/>
    <w:pPr>
      <w:numPr>
        <w:ilvl w:val="3"/>
        <w:numId w:val="5"/>
      </w:numPr>
      <w:spacing w:line="22" w:lineRule="atLeast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BE7D3E"/>
    <w:pPr>
      <w:numPr>
        <w:ilvl w:val="4"/>
        <w:numId w:val="5"/>
      </w:numPr>
      <w:spacing w:line="22" w:lineRule="atLeast"/>
      <w:outlineLvl w:val="4"/>
    </w:pPr>
    <w:rPr>
      <w:rFonts w:ascii="Arial" w:eastAsia="Times New Roman" w:hAnsi="Arial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050E3E"/>
    <w:pPr>
      <w:keepNext/>
      <w:outlineLvl w:val="6"/>
    </w:pPr>
    <w:rPr>
      <w:rFonts w:ascii="Arial" w:eastAsia="Calibri" w:hAnsi="Arial" w:cs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3E"/>
    <w:pPr>
      <w:tabs>
        <w:tab w:val="center" w:pos="4680"/>
        <w:tab w:val="right" w:pos="9360"/>
      </w:tabs>
      <w:spacing w:line="22" w:lineRule="atLeast"/>
      <w:ind w:left="360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7D3E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BE7D3E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E7D3E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E7D3E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E7D3E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BE7D3E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506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87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3F"/>
  </w:style>
  <w:style w:type="character" w:customStyle="1" w:styleId="Heading7Char">
    <w:name w:val="Heading 7 Char"/>
    <w:basedOn w:val="DefaultParagraphFont"/>
    <w:link w:val="Heading7"/>
    <w:rsid w:val="00050E3E"/>
    <w:rPr>
      <w:rFonts w:ascii="Arial" w:eastAsia="Calibri" w:hAnsi="Arial" w:cs="Times New Roman"/>
      <w:i/>
      <w:iCs/>
      <w:sz w:val="20"/>
    </w:rPr>
  </w:style>
  <w:style w:type="paragraph" w:styleId="EndnoteText">
    <w:name w:val="endnote text"/>
    <w:basedOn w:val="Normal"/>
    <w:link w:val="EndnoteTextChar"/>
    <w:semiHidden/>
    <w:rsid w:val="00050E3E"/>
    <w:rPr>
      <w:rFonts w:ascii="Arial" w:eastAsia="Calibri" w:hAnsi="Arial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0E3E"/>
    <w:rPr>
      <w:rFonts w:ascii="Arial" w:eastAsia="Calibri" w:hAnsi="Arial" w:cs="Times New Roman"/>
      <w:sz w:val="20"/>
    </w:rPr>
  </w:style>
  <w:style w:type="paragraph" w:customStyle="1" w:styleId="SectionHeading">
    <w:name w:val="Section Heading"/>
    <w:basedOn w:val="Heading1"/>
    <w:rsid w:val="00221ACA"/>
    <w:pPr>
      <w:numPr>
        <w:numId w:val="0"/>
      </w:numPr>
      <w:tabs>
        <w:tab w:val="num" w:pos="720"/>
        <w:tab w:val="left" w:pos="1440"/>
      </w:tabs>
      <w:spacing w:after="480"/>
      <w:ind w:left="720" w:hanging="720"/>
      <w:outlineLvl w:val="9"/>
    </w:pPr>
    <w:rPr>
      <w:sz w:val="20"/>
    </w:rPr>
  </w:style>
  <w:style w:type="paragraph" w:customStyle="1" w:styleId="Pa6">
    <w:name w:val="Pa6"/>
    <w:basedOn w:val="Normal"/>
    <w:next w:val="Normal"/>
    <w:uiPriority w:val="99"/>
    <w:rsid w:val="000A63BC"/>
    <w:pPr>
      <w:autoSpaceDE w:val="0"/>
      <w:autoSpaceDN w:val="0"/>
      <w:adjustRightInd w:val="0"/>
      <w:spacing w:line="141" w:lineRule="atLeast"/>
    </w:pPr>
    <w:rPr>
      <w:rFonts w:ascii="Futura Bk BT" w:eastAsia="Arial" w:hAnsi="Futura Bk BT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009BE"/>
  </w:style>
  <w:style w:type="paragraph" w:styleId="ListParagraph">
    <w:name w:val="List Paragraph"/>
    <w:basedOn w:val="Normal"/>
    <w:uiPriority w:val="34"/>
    <w:qFormat/>
    <w:rsid w:val="003F4BDF"/>
    <w:pPr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efault">
    <w:name w:val="Default"/>
    <w:rsid w:val="00BC5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3DB"/>
    <w:rPr>
      <w:b/>
      <w:bCs/>
      <w:sz w:val="20"/>
      <w:szCs w:val="20"/>
    </w:rPr>
  </w:style>
  <w:style w:type="paragraph" w:styleId="NoSpacing">
    <w:name w:val="No Spacing"/>
    <w:uiPriority w:val="1"/>
    <w:qFormat/>
    <w:rsid w:val="00C053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A7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BE7D3E"/>
    <w:pPr>
      <w:keepNext/>
      <w:numPr>
        <w:numId w:val="5"/>
      </w:numPr>
      <w:spacing w:line="22" w:lineRule="atLeast"/>
      <w:outlineLvl w:val="0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link w:val="Heading2Char"/>
    <w:qFormat/>
    <w:rsid w:val="00BE7D3E"/>
    <w:pPr>
      <w:numPr>
        <w:ilvl w:val="1"/>
        <w:numId w:val="5"/>
      </w:numPr>
      <w:spacing w:line="22" w:lineRule="atLeast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link w:val="Heading3Char"/>
    <w:qFormat/>
    <w:rsid w:val="00BE7D3E"/>
    <w:pPr>
      <w:numPr>
        <w:ilvl w:val="2"/>
        <w:numId w:val="5"/>
      </w:numPr>
      <w:spacing w:line="22" w:lineRule="atLeast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link w:val="Heading4Char"/>
    <w:qFormat/>
    <w:rsid w:val="00BE7D3E"/>
    <w:pPr>
      <w:numPr>
        <w:ilvl w:val="3"/>
        <w:numId w:val="5"/>
      </w:numPr>
      <w:spacing w:line="22" w:lineRule="atLeast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BE7D3E"/>
    <w:pPr>
      <w:numPr>
        <w:ilvl w:val="4"/>
        <w:numId w:val="5"/>
      </w:numPr>
      <w:spacing w:line="22" w:lineRule="atLeast"/>
      <w:outlineLvl w:val="4"/>
    </w:pPr>
    <w:rPr>
      <w:rFonts w:ascii="Arial" w:eastAsia="Times New Roman" w:hAnsi="Arial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050E3E"/>
    <w:pPr>
      <w:keepNext/>
      <w:outlineLvl w:val="6"/>
    </w:pPr>
    <w:rPr>
      <w:rFonts w:ascii="Arial" w:eastAsia="Calibri" w:hAnsi="Arial" w:cs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3E"/>
    <w:pPr>
      <w:tabs>
        <w:tab w:val="center" w:pos="4680"/>
        <w:tab w:val="right" w:pos="9360"/>
      </w:tabs>
      <w:spacing w:line="22" w:lineRule="atLeast"/>
      <w:ind w:left="360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7D3E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BE7D3E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E7D3E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E7D3E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E7D3E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BE7D3E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506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87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3F"/>
  </w:style>
  <w:style w:type="character" w:customStyle="1" w:styleId="Heading7Char">
    <w:name w:val="Heading 7 Char"/>
    <w:basedOn w:val="DefaultParagraphFont"/>
    <w:link w:val="Heading7"/>
    <w:rsid w:val="00050E3E"/>
    <w:rPr>
      <w:rFonts w:ascii="Arial" w:eastAsia="Calibri" w:hAnsi="Arial" w:cs="Times New Roman"/>
      <w:i/>
      <w:iCs/>
      <w:sz w:val="20"/>
    </w:rPr>
  </w:style>
  <w:style w:type="paragraph" w:styleId="EndnoteText">
    <w:name w:val="endnote text"/>
    <w:basedOn w:val="Normal"/>
    <w:link w:val="EndnoteTextChar"/>
    <w:semiHidden/>
    <w:rsid w:val="00050E3E"/>
    <w:rPr>
      <w:rFonts w:ascii="Arial" w:eastAsia="Calibri" w:hAnsi="Arial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0E3E"/>
    <w:rPr>
      <w:rFonts w:ascii="Arial" w:eastAsia="Calibri" w:hAnsi="Arial" w:cs="Times New Roman"/>
      <w:sz w:val="20"/>
    </w:rPr>
  </w:style>
  <w:style w:type="paragraph" w:customStyle="1" w:styleId="SectionHeading">
    <w:name w:val="Section Heading"/>
    <w:basedOn w:val="Heading1"/>
    <w:rsid w:val="00221ACA"/>
    <w:pPr>
      <w:numPr>
        <w:numId w:val="0"/>
      </w:numPr>
      <w:tabs>
        <w:tab w:val="num" w:pos="720"/>
        <w:tab w:val="left" w:pos="1440"/>
      </w:tabs>
      <w:spacing w:after="480"/>
      <w:ind w:left="720" w:hanging="720"/>
      <w:outlineLvl w:val="9"/>
    </w:pPr>
    <w:rPr>
      <w:sz w:val="20"/>
    </w:rPr>
  </w:style>
  <w:style w:type="paragraph" w:customStyle="1" w:styleId="Pa6">
    <w:name w:val="Pa6"/>
    <w:basedOn w:val="Normal"/>
    <w:next w:val="Normal"/>
    <w:uiPriority w:val="99"/>
    <w:rsid w:val="000A63BC"/>
    <w:pPr>
      <w:autoSpaceDE w:val="0"/>
      <w:autoSpaceDN w:val="0"/>
      <w:adjustRightInd w:val="0"/>
      <w:spacing w:line="141" w:lineRule="atLeast"/>
    </w:pPr>
    <w:rPr>
      <w:rFonts w:ascii="Futura Bk BT" w:eastAsia="Arial" w:hAnsi="Futura Bk BT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009BE"/>
  </w:style>
  <w:style w:type="paragraph" w:styleId="ListParagraph">
    <w:name w:val="List Paragraph"/>
    <w:basedOn w:val="Normal"/>
    <w:uiPriority w:val="34"/>
    <w:qFormat/>
    <w:rsid w:val="003F4BDF"/>
    <w:pPr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efault">
    <w:name w:val="Default"/>
    <w:rsid w:val="00BC5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3DB"/>
    <w:rPr>
      <w:b/>
      <w:bCs/>
      <w:sz w:val="20"/>
      <w:szCs w:val="20"/>
    </w:rPr>
  </w:style>
  <w:style w:type="paragraph" w:styleId="NoSpacing">
    <w:name w:val="No Spacing"/>
    <w:uiPriority w:val="1"/>
    <w:qFormat/>
    <w:rsid w:val="00C05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82CC-75A0-4345-9A25-F66987DC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Borjen Yeh</dc:creator>
  <cp:lastModifiedBy>Dr. Borjen Yeh</cp:lastModifiedBy>
  <cp:revision>5</cp:revision>
  <cp:lastPrinted>2012-03-23T15:33:00Z</cp:lastPrinted>
  <dcterms:created xsi:type="dcterms:W3CDTF">2015-02-09T20:47:00Z</dcterms:created>
  <dcterms:modified xsi:type="dcterms:W3CDTF">2015-02-13T07:09:00Z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