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FE" w:rsidRPr="00656A8D" w:rsidRDefault="00D85AFE" w:rsidP="00D85AFE">
      <w:pPr>
        <w:shd w:val="clear" w:color="auto" w:fill="006600"/>
        <w:tabs>
          <w:tab w:val="right" w:pos="8640"/>
        </w:tabs>
        <w:jc w:val="center"/>
        <w:rPr>
          <w:rFonts w:ascii="Arial Black" w:hAnsi="Arial Black"/>
          <w:b/>
          <w:sz w:val="24"/>
        </w:rPr>
      </w:pPr>
      <w:r w:rsidRPr="00656A8D">
        <w:rPr>
          <w:rFonts w:ascii="Arial Black" w:hAnsi="Arial Black"/>
          <w:b/>
          <w:sz w:val="24"/>
        </w:rPr>
        <w:t>ANSI/APA PRP 210-2019 (Ballot 2019-1)</w:t>
      </w:r>
    </w:p>
    <w:p w:rsidR="004230C0" w:rsidRPr="004230C0" w:rsidRDefault="00960C3B" w:rsidP="00960C3B">
      <w:pPr>
        <w:tabs>
          <w:tab w:val="right" w:pos="8640"/>
        </w:tabs>
        <w:spacing w:before="240"/>
        <w:rPr>
          <w:b/>
          <w:sz w:val="22"/>
        </w:rPr>
      </w:pPr>
      <w:r>
        <w:rPr>
          <w:b/>
          <w:sz w:val="22"/>
        </w:rPr>
        <w:t xml:space="preserve">Ballot issue date: </w:t>
      </w:r>
      <w:r w:rsidR="00154EB2">
        <w:rPr>
          <w:b/>
          <w:color w:val="FF0000"/>
          <w:sz w:val="22"/>
        </w:rPr>
        <w:t>11</w:t>
      </w:r>
      <w:r w:rsidR="00633FBE">
        <w:rPr>
          <w:b/>
          <w:color w:val="FF0000"/>
          <w:sz w:val="22"/>
        </w:rPr>
        <w:t>/</w:t>
      </w:r>
      <w:r w:rsidR="00D85AFE">
        <w:rPr>
          <w:b/>
          <w:color w:val="FF0000"/>
          <w:sz w:val="22"/>
        </w:rPr>
        <w:t>12</w:t>
      </w:r>
      <w:r w:rsidR="00CE3F53" w:rsidRPr="00CE3F53">
        <w:rPr>
          <w:b/>
          <w:color w:val="FF0000"/>
          <w:sz w:val="22"/>
        </w:rPr>
        <w:t>/</w:t>
      </w:r>
      <w:r w:rsidR="00CE3F53">
        <w:rPr>
          <w:b/>
          <w:color w:val="FF0000"/>
          <w:sz w:val="22"/>
        </w:rPr>
        <w:t>20</w:t>
      </w:r>
      <w:r w:rsidR="009E52E4">
        <w:rPr>
          <w:b/>
          <w:color w:val="FF0000"/>
          <w:sz w:val="22"/>
        </w:rPr>
        <w:t>1</w:t>
      </w:r>
      <w:r w:rsidR="00D85AFE">
        <w:rPr>
          <w:b/>
          <w:color w:val="FF0000"/>
          <w:sz w:val="22"/>
        </w:rPr>
        <w:t>8</w:t>
      </w:r>
      <w:r w:rsidR="00385F90">
        <w:rPr>
          <w:b/>
          <w:sz w:val="22"/>
        </w:rPr>
        <w:tab/>
        <w:t>Ballot closing date:</w:t>
      </w:r>
      <w:r>
        <w:rPr>
          <w:b/>
          <w:sz w:val="22"/>
        </w:rPr>
        <w:t xml:space="preserve"> </w:t>
      </w:r>
      <w:r w:rsidR="00154EB2">
        <w:rPr>
          <w:b/>
          <w:color w:val="FF0000"/>
          <w:sz w:val="22"/>
        </w:rPr>
        <w:t>12</w:t>
      </w:r>
      <w:r w:rsidR="00CE3F53" w:rsidRPr="00CE3F53">
        <w:rPr>
          <w:b/>
          <w:color w:val="FF0000"/>
          <w:sz w:val="22"/>
        </w:rPr>
        <w:t>/</w:t>
      </w:r>
      <w:r w:rsidR="00D85AFE">
        <w:rPr>
          <w:b/>
          <w:color w:val="FF0000"/>
          <w:sz w:val="22"/>
        </w:rPr>
        <w:t>12</w:t>
      </w:r>
      <w:r w:rsidR="00CE3F53" w:rsidRPr="00CE3F53">
        <w:rPr>
          <w:b/>
          <w:color w:val="FF0000"/>
          <w:sz w:val="22"/>
        </w:rPr>
        <w:t>/</w:t>
      </w:r>
      <w:r w:rsidR="00CE3F53">
        <w:rPr>
          <w:b/>
          <w:color w:val="FF0000"/>
          <w:sz w:val="22"/>
        </w:rPr>
        <w:t>20</w:t>
      </w:r>
      <w:r w:rsidR="00CE3F53" w:rsidRPr="00CE3F53">
        <w:rPr>
          <w:b/>
          <w:color w:val="FF0000"/>
          <w:sz w:val="22"/>
        </w:rPr>
        <w:t>1</w:t>
      </w:r>
      <w:r w:rsidR="00D85AFE">
        <w:rPr>
          <w:b/>
          <w:color w:val="FF0000"/>
          <w:sz w:val="22"/>
        </w:rPr>
        <w:t>8</w:t>
      </w:r>
    </w:p>
    <w:p w:rsidR="00A64ED6" w:rsidRDefault="00A64ED6" w:rsidP="00A64ED6">
      <w:pPr>
        <w:rPr>
          <w:rFonts w:cs="Arial"/>
          <w:b/>
          <w:bCs/>
          <w:szCs w:val="20"/>
        </w:rPr>
      </w:pPr>
    </w:p>
    <w:p w:rsidR="00753D00" w:rsidRPr="004230C0" w:rsidRDefault="00753D00" w:rsidP="00753D00">
      <w:pPr>
        <w:rPr>
          <w:rFonts w:cs="Arial"/>
          <w:b/>
          <w:bCs/>
          <w:sz w:val="22"/>
          <w:u w:val="single"/>
        </w:rPr>
      </w:pPr>
      <w:r w:rsidRPr="004230C0">
        <w:rPr>
          <w:rFonts w:cs="Arial"/>
          <w:b/>
          <w:bCs/>
          <w:sz w:val="22"/>
          <w:u w:val="single"/>
        </w:rPr>
        <w:t>Ballot Instructions:</w:t>
      </w:r>
    </w:p>
    <w:p w:rsidR="00753D00" w:rsidRPr="008971C0" w:rsidRDefault="00753D00" w:rsidP="00D11C2E">
      <w:pPr>
        <w:numPr>
          <w:ilvl w:val="0"/>
          <w:numId w:val="1"/>
        </w:numPr>
        <w:spacing w:before="120"/>
        <w:rPr>
          <w:rFonts w:cs="Arial"/>
          <w:szCs w:val="20"/>
        </w:rPr>
      </w:pPr>
      <w:r w:rsidRPr="008971C0">
        <w:rPr>
          <w:rFonts w:cs="Arial"/>
          <w:szCs w:val="20"/>
        </w:rPr>
        <w:t xml:space="preserve">All members are required to return the letter ballot. </w:t>
      </w:r>
      <w:r>
        <w:rPr>
          <w:rFonts w:cs="Arial"/>
          <w:szCs w:val="20"/>
        </w:rPr>
        <w:t xml:space="preserve"> </w:t>
      </w:r>
      <w:r w:rsidRPr="008971C0">
        <w:rPr>
          <w:rFonts w:cs="Arial"/>
          <w:szCs w:val="20"/>
        </w:rPr>
        <w:t xml:space="preserve">Failure to return </w:t>
      </w:r>
      <w:r>
        <w:rPr>
          <w:rFonts w:cs="Arial"/>
          <w:szCs w:val="20"/>
        </w:rPr>
        <w:t>3</w:t>
      </w:r>
      <w:r w:rsidRPr="008971C0">
        <w:rPr>
          <w:rFonts w:cs="Arial"/>
          <w:szCs w:val="20"/>
        </w:rPr>
        <w:t xml:space="preserve"> consecutive letter ballots will lead to </w:t>
      </w:r>
      <w:r>
        <w:rPr>
          <w:rFonts w:cs="Arial"/>
          <w:szCs w:val="20"/>
        </w:rPr>
        <w:t>the</w:t>
      </w:r>
      <w:r w:rsidRPr="008971C0">
        <w:rPr>
          <w:rFonts w:cs="Arial"/>
          <w:szCs w:val="20"/>
        </w:rPr>
        <w:t xml:space="preserve"> termination </w:t>
      </w:r>
      <w:r>
        <w:rPr>
          <w:rFonts w:cs="Arial"/>
          <w:szCs w:val="20"/>
        </w:rPr>
        <w:t xml:space="preserve">of the membership </w:t>
      </w:r>
      <w:r w:rsidRPr="008971C0">
        <w:rPr>
          <w:rFonts w:cs="Arial"/>
          <w:szCs w:val="20"/>
        </w:rPr>
        <w:t>from this committee.</w:t>
      </w:r>
    </w:p>
    <w:p w:rsidR="00753D00" w:rsidRPr="008971C0" w:rsidRDefault="00753D00" w:rsidP="00D11C2E">
      <w:pPr>
        <w:numPr>
          <w:ilvl w:val="0"/>
          <w:numId w:val="1"/>
        </w:numPr>
        <w:spacing w:before="120"/>
        <w:rPr>
          <w:rFonts w:cs="Arial"/>
          <w:szCs w:val="20"/>
        </w:rPr>
      </w:pPr>
      <w:r>
        <w:rPr>
          <w:rFonts w:cs="Arial"/>
          <w:szCs w:val="20"/>
        </w:rPr>
        <w:t>All votes shall be cast</w:t>
      </w:r>
      <w:r w:rsidRPr="008971C0">
        <w:rPr>
          <w:rFonts w:cs="Arial"/>
          <w:szCs w:val="20"/>
        </w:rPr>
        <w:t xml:space="preserve"> by marking the </w:t>
      </w:r>
      <w:r>
        <w:rPr>
          <w:rFonts w:cs="Arial"/>
          <w:szCs w:val="20"/>
        </w:rPr>
        <w:t xml:space="preserve">appropriate </w:t>
      </w:r>
      <w:r w:rsidRPr="008971C0">
        <w:rPr>
          <w:rFonts w:cs="Arial"/>
          <w:szCs w:val="20"/>
        </w:rPr>
        <w:t xml:space="preserve">column </w:t>
      </w:r>
      <w:r>
        <w:rPr>
          <w:rFonts w:cs="Arial"/>
          <w:szCs w:val="20"/>
        </w:rPr>
        <w:t>of</w:t>
      </w:r>
      <w:r w:rsidRPr="008971C0">
        <w:rPr>
          <w:rFonts w:cs="Arial"/>
          <w:szCs w:val="20"/>
        </w:rPr>
        <w:t xml:space="preserve"> each ballot item. </w:t>
      </w:r>
    </w:p>
    <w:p w:rsidR="00753D00" w:rsidRPr="008971C0" w:rsidRDefault="00753D00" w:rsidP="00D11C2E">
      <w:pPr>
        <w:numPr>
          <w:ilvl w:val="0"/>
          <w:numId w:val="1"/>
        </w:numPr>
        <w:spacing w:before="120"/>
        <w:rPr>
          <w:rFonts w:cs="Arial"/>
          <w:szCs w:val="20"/>
        </w:rPr>
      </w:pPr>
      <w:r w:rsidRPr="008971C0">
        <w:rPr>
          <w:rFonts w:cs="Arial"/>
          <w:szCs w:val="20"/>
        </w:rPr>
        <w:t xml:space="preserve">Ballot items marked Negative or Affirmative-with-Comment </w:t>
      </w:r>
      <w:r>
        <w:rPr>
          <w:rFonts w:cs="Arial"/>
          <w:szCs w:val="20"/>
        </w:rPr>
        <w:t>shall</w:t>
      </w:r>
      <w:r w:rsidRPr="008971C0">
        <w:rPr>
          <w:rFonts w:cs="Arial"/>
          <w:szCs w:val="20"/>
        </w:rPr>
        <w:t xml:space="preserve"> be accompanied by a written explanation and proposed resolution</w:t>
      </w:r>
      <w:r>
        <w:rPr>
          <w:rFonts w:cs="Arial"/>
          <w:szCs w:val="20"/>
        </w:rPr>
        <w:t xml:space="preserve"> that would address the negative/comment using</w:t>
      </w:r>
      <w:r w:rsidRPr="008971C0">
        <w:rPr>
          <w:rFonts w:cs="Arial"/>
          <w:szCs w:val="20"/>
        </w:rPr>
        <w:t xml:space="preserve"> the comment form</w:t>
      </w:r>
      <w:r>
        <w:rPr>
          <w:rFonts w:cs="Arial"/>
          <w:szCs w:val="20"/>
        </w:rPr>
        <w:t xml:space="preserve"> at the end of this ballot form</w:t>
      </w:r>
      <w:r w:rsidRPr="008971C0">
        <w:rPr>
          <w:rFonts w:cs="Arial"/>
          <w:szCs w:val="20"/>
        </w:rPr>
        <w:t>.</w:t>
      </w:r>
    </w:p>
    <w:p w:rsidR="00753D00" w:rsidRPr="008971C0" w:rsidRDefault="00753D00" w:rsidP="00753D00">
      <w:pPr>
        <w:spacing w:before="120"/>
        <w:ind w:left="360"/>
        <w:rPr>
          <w:rFonts w:cs="Arial"/>
          <w:szCs w:val="20"/>
        </w:rPr>
      </w:pPr>
      <w:r w:rsidRPr="008971C0">
        <w:rPr>
          <w:rFonts w:cs="Arial"/>
          <w:szCs w:val="20"/>
        </w:rPr>
        <w:t xml:space="preserve">Exception:  A written explanation and proposed resolution </w:t>
      </w:r>
      <w:r>
        <w:rPr>
          <w:rFonts w:cs="Arial"/>
          <w:szCs w:val="20"/>
        </w:rPr>
        <w:t>is not required for</w:t>
      </w:r>
      <w:r w:rsidRPr="008971C0">
        <w:rPr>
          <w:rFonts w:cs="Arial"/>
          <w:szCs w:val="20"/>
        </w:rPr>
        <w:t xml:space="preserve"> a </w:t>
      </w:r>
      <w:r>
        <w:rPr>
          <w:rFonts w:cs="Arial"/>
          <w:szCs w:val="20"/>
        </w:rPr>
        <w:t xml:space="preserve">recirculation or </w:t>
      </w:r>
      <w:r w:rsidRPr="008971C0">
        <w:rPr>
          <w:rFonts w:cs="Arial"/>
          <w:szCs w:val="20"/>
        </w:rPr>
        <w:t>non-persuasive</w:t>
      </w:r>
      <w:r>
        <w:rPr>
          <w:rFonts w:cs="Arial"/>
          <w:szCs w:val="20"/>
        </w:rPr>
        <w:t xml:space="preserve"> ballot</w:t>
      </w:r>
      <w:r w:rsidRPr="008971C0">
        <w:rPr>
          <w:rFonts w:cs="Arial"/>
          <w:szCs w:val="20"/>
        </w:rPr>
        <w:t>.</w:t>
      </w:r>
    </w:p>
    <w:p w:rsidR="00753D00" w:rsidRPr="00A84716" w:rsidRDefault="00753D00" w:rsidP="00D11C2E">
      <w:pPr>
        <w:numPr>
          <w:ilvl w:val="0"/>
          <w:numId w:val="1"/>
        </w:numPr>
        <w:spacing w:before="120"/>
        <w:rPr>
          <w:rFonts w:cs="Arial"/>
          <w:szCs w:val="20"/>
        </w:rPr>
      </w:pPr>
      <w:r w:rsidRPr="00177F70">
        <w:rPr>
          <w:rFonts w:cs="Arial"/>
          <w:szCs w:val="20"/>
        </w:rPr>
        <w:t xml:space="preserve">Return ballot by e-mail to </w:t>
      </w:r>
      <w:hyperlink r:id="rId8" w:history="1">
        <w:r w:rsidRPr="00177F70">
          <w:rPr>
            <w:rStyle w:val="Hyperlink"/>
            <w:rFonts w:cs="Arial"/>
            <w:szCs w:val="20"/>
          </w:rPr>
          <w:t>borjen.yeh@apawood.org</w:t>
        </w:r>
      </w:hyperlink>
      <w:r w:rsidRPr="00177F70">
        <w:rPr>
          <w:rFonts w:cs="Arial"/>
          <w:szCs w:val="20"/>
        </w:rPr>
        <w:t xml:space="preserve">.  </w:t>
      </w:r>
      <w:r w:rsidRPr="00A84716">
        <w:rPr>
          <w:rFonts w:cs="Arial"/>
          <w:szCs w:val="20"/>
        </w:rPr>
        <w:t>Please attach the completed ballot and comments as a word processor file (e.g., Microsoft Word) to facilitate the collection of comments for committee actions.</w:t>
      </w:r>
    </w:p>
    <w:p w:rsidR="00753D00" w:rsidRDefault="00753D00" w:rsidP="00753D00">
      <w:pPr>
        <w:rPr>
          <w:rFonts w:cs="Arial"/>
          <w:szCs w:val="20"/>
        </w:rPr>
      </w:pPr>
    </w:p>
    <w:p w:rsidR="00753D00" w:rsidRPr="00CE3F53" w:rsidRDefault="00753D00" w:rsidP="00753D00">
      <w:pPr>
        <w:rPr>
          <w:rFonts w:cs="Arial"/>
          <w:b/>
          <w:szCs w:val="20"/>
        </w:rPr>
      </w:pPr>
    </w:p>
    <w:tbl>
      <w:tblPr>
        <w:tblW w:w="0" w:type="auto"/>
        <w:tblLook w:val="04A0" w:firstRow="1" w:lastRow="0" w:firstColumn="1" w:lastColumn="0" w:noHBand="0" w:noVBand="1"/>
      </w:tblPr>
      <w:tblGrid>
        <w:gridCol w:w="3155"/>
        <w:gridCol w:w="236"/>
        <w:gridCol w:w="3118"/>
        <w:gridCol w:w="269"/>
        <w:gridCol w:w="1862"/>
      </w:tblGrid>
      <w:tr w:rsidR="00753D00" w:rsidRPr="00A0211B" w:rsidTr="00330F64">
        <w:trPr>
          <w:trHeight w:val="432"/>
        </w:trPr>
        <w:tc>
          <w:tcPr>
            <w:tcW w:w="3238" w:type="dxa"/>
            <w:tcBorders>
              <w:bottom w:val="single" w:sz="4" w:space="0" w:color="000000"/>
            </w:tcBorders>
            <w:vAlign w:val="center"/>
          </w:tcPr>
          <w:p w:rsidR="00753D00" w:rsidRPr="00A0211B" w:rsidRDefault="00753D00" w:rsidP="00330F64"/>
        </w:tc>
        <w:tc>
          <w:tcPr>
            <w:tcW w:w="236" w:type="dxa"/>
            <w:vAlign w:val="center"/>
          </w:tcPr>
          <w:p w:rsidR="00753D00" w:rsidRPr="00A0211B" w:rsidRDefault="00753D00" w:rsidP="00330F64"/>
        </w:tc>
        <w:tc>
          <w:tcPr>
            <w:tcW w:w="3204" w:type="dxa"/>
            <w:tcBorders>
              <w:bottom w:val="single" w:sz="4" w:space="0" w:color="000000"/>
            </w:tcBorders>
            <w:vAlign w:val="center"/>
          </w:tcPr>
          <w:p w:rsidR="00753D00" w:rsidRPr="00A0211B" w:rsidRDefault="00753D00" w:rsidP="00330F64"/>
        </w:tc>
        <w:tc>
          <w:tcPr>
            <w:tcW w:w="270" w:type="dxa"/>
            <w:vAlign w:val="center"/>
          </w:tcPr>
          <w:p w:rsidR="00753D00" w:rsidRPr="00A0211B" w:rsidRDefault="00753D00" w:rsidP="00330F64"/>
        </w:tc>
        <w:tc>
          <w:tcPr>
            <w:tcW w:w="1908" w:type="dxa"/>
            <w:tcBorders>
              <w:bottom w:val="single" w:sz="4" w:space="0" w:color="000000"/>
            </w:tcBorders>
            <w:vAlign w:val="center"/>
          </w:tcPr>
          <w:p w:rsidR="00753D00" w:rsidRPr="00A0211B" w:rsidRDefault="00753D00" w:rsidP="00330F64"/>
        </w:tc>
      </w:tr>
      <w:tr w:rsidR="00753D00" w:rsidRPr="00A0211B" w:rsidTr="00330F64">
        <w:tc>
          <w:tcPr>
            <w:tcW w:w="3474" w:type="dxa"/>
            <w:gridSpan w:val="2"/>
          </w:tcPr>
          <w:p w:rsidR="00753D00" w:rsidRPr="00A0211B" w:rsidRDefault="00753D00" w:rsidP="00330F64">
            <w:r w:rsidRPr="00A0211B">
              <w:t>Committee Member Name</w:t>
            </w:r>
          </w:p>
        </w:tc>
        <w:tc>
          <w:tcPr>
            <w:tcW w:w="3474" w:type="dxa"/>
            <w:gridSpan w:val="2"/>
          </w:tcPr>
          <w:p w:rsidR="00753D00" w:rsidRPr="00A0211B" w:rsidRDefault="00753D00" w:rsidP="00330F64">
            <w:r w:rsidRPr="00A0211B">
              <w:t>Signature</w:t>
            </w:r>
            <w:r>
              <w:t xml:space="preserve"> (not required with e-mail)</w:t>
            </w:r>
          </w:p>
        </w:tc>
        <w:tc>
          <w:tcPr>
            <w:tcW w:w="1908" w:type="dxa"/>
          </w:tcPr>
          <w:p w:rsidR="00753D00" w:rsidRPr="00A0211B" w:rsidRDefault="00753D00" w:rsidP="00330F64">
            <w:r w:rsidRPr="00A0211B">
              <w:t>Date</w:t>
            </w:r>
          </w:p>
        </w:tc>
      </w:tr>
    </w:tbl>
    <w:p w:rsidR="00753D00" w:rsidRDefault="00753D00" w:rsidP="00753D00"/>
    <w:p w:rsidR="00753D00" w:rsidRDefault="00753D00" w:rsidP="00753D00"/>
    <w:p w:rsidR="00753D00" w:rsidRPr="00CE3F53" w:rsidRDefault="00753D00" w:rsidP="00753D00">
      <w:pPr>
        <w:rPr>
          <w:rFonts w:cs="Arial"/>
          <w:bCs/>
          <w:szCs w:val="20"/>
          <w:u w:val="single"/>
        </w:rPr>
      </w:pPr>
      <w:r w:rsidRPr="00CE3F53">
        <w:rPr>
          <w:rFonts w:cs="Arial"/>
          <w:b/>
          <w:bCs/>
          <w:sz w:val="22"/>
          <w:u w:val="single"/>
        </w:rPr>
        <w:t xml:space="preserve">Ballot </w:t>
      </w:r>
      <w:r w:rsidRPr="00CE3F53">
        <w:rPr>
          <w:rFonts w:cs="Arial"/>
          <w:bCs/>
          <w:szCs w:val="20"/>
          <w:u w:val="single"/>
        </w:rPr>
        <w:t>(Aff = affirmative; Aw/C = affirmative with comment; Neg = negative; Abst = abstention)</w:t>
      </w:r>
    </w:p>
    <w:p w:rsidR="00753D00" w:rsidRDefault="00753D00" w:rsidP="00753D00"/>
    <w:tbl>
      <w:tblPr>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4500"/>
        <w:gridCol w:w="720"/>
        <w:gridCol w:w="720"/>
        <w:gridCol w:w="720"/>
        <w:gridCol w:w="810"/>
      </w:tblGrid>
      <w:tr w:rsidR="00753D00" w:rsidRPr="00A0211B" w:rsidTr="004E5773">
        <w:tc>
          <w:tcPr>
            <w:tcW w:w="1165" w:type="dxa"/>
            <w:shd w:val="clear" w:color="auto" w:fill="C6D9F1"/>
          </w:tcPr>
          <w:p w:rsidR="00753D00" w:rsidRPr="00A0211B" w:rsidRDefault="00753D00" w:rsidP="00330F64">
            <w:pPr>
              <w:jc w:val="center"/>
            </w:pPr>
            <w:r w:rsidRPr="00A0211B">
              <w:t>Item</w:t>
            </w:r>
          </w:p>
        </w:tc>
        <w:tc>
          <w:tcPr>
            <w:tcW w:w="4500" w:type="dxa"/>
            <w:shd w:val="clear" w:color="auto" w:fill="C6D9F1"/>
          </w:tcPr>
          <w:p w:rsidR="00753D00" w:rsidRPr="00A0211B" w:rsidRDefault="00753D00" w:rsidP="00330F64">
            <w:r w:rsidRPr="00A0211B">
              <w:t>Description</w:t>
            </w:r>
          </w:p>
        </w:tc>
        <w:tc>
          <w:tcPr>
            <w:tcW w:w="720" w:type="dxa"/>
            <w:shd w:val="clear" w:color="auto" w:fill="C6D9F1"/>
          </w:tcPr>
          <w:p w:rsidR="00753D00" w:rsidRPr="00A0211B" w:rsidRDefault="00753D00" w:rsidP="00330F64">
            <w:pPr>
              <w:jc w:val="center"/>
            </w:pPr>
            <w:r w:rsidRPr="00A0211B">
              <w:t>Aff</w:t>
            </w:r>
          </w:p>
        </w:tc>
        <w:tc>
          <w:tcPr>
            <w:tcW w:w="720" w:type="dxa"/>
            <w:shd w:val="clear" w:color="auto" w:fill="C6D9F1"/>
          </w:tcPr>
          <w:p w:rsidR="00753D00" w:rsidRPr="00A0211B" w:rsidRDefault="00753D00" w:rsidP="00330F64">
            <w:pPr>
              <w:jc w:val="center"/>
            </w:pPr>
            <w:r w:rsidRPr="00A0211B">
              <w:t>Aw/C</w:t>
            </w:r>
          </w:p>
        </w:tc>
        <w:tc>
          <w:tcPr>
            <w:tcW w:w="720" w:type="dxa"/>
            <w:shd w:val="clear" w:color="auto" w:fill="C6D9F1"/>
          </w:tcPr>
          <w:p w:rsidR="00753D00" w:rsidRPr="00A0211B" w:rsidRDefault="00753D00" w:rsidP="00330F64">
            <w:pPr>
              <w:jc w:val="center"/>
            </w:pPr>
            <w:r w:rsidRPr="00A0211B">
              <w:t>Neg</w:t>
            </w:r>
          </w:p>
        </w:tc>
        <w:tc>
          <w:tcPr>
            <w:tcW w:w="810" w:type="dxa"/>
            <w:shd w:val="clear" w:color="auto" w:fill="C6D9F1"/>
          </w:tcPr>
          <w:p w:rsidR="00753D00" w:rsidRPr="00A0211B" w:rsidRDefault="00753D00" w:rsidP="00330F64">
            <w:pPr>
              <w:jc w:val="center"/>
            </w:pPr>
            <w:r w:rsidRPr="00A0211B">
              <w:t>Abst</w:t>
            </w:r>
          </w:p>
        </w:tc>
      </w:tr>
      <w:tr w:rsidR="00753D00" w:rsidRPr="00A0211B" w:rsidTr="004E5773">
        <w:tc>
          <w:tcPr>
            <w:tcW w:w="1165" w:type="dxa"/>
            <w:vAlign w:val="center"/>
          </w:tcPr>
          <w:p w:rsidR="00753D00" w:rsidRPr="00A0211B" w:rsidRDefault="00753D00" w:rsidP="00D85AFE">
            <w:pPr>
              <w:jc w:val="center"/>
            </w:pPr>
            <w:r>
              <w:t>201</w:t>
            </w:r>
            <w:r w:rsidR="00D85AFE">
              <w:t>9</w:t>
            </w:r>
            <w:r w:rsidR="004E5773">
              <w:t>-1</w:t>
            </w:r>
            <w:r w:rsidR="00656A8D">
              <w:t>-01</w:t>
            </w:r>
          </w:p>
        </w:tc>
        <w:tc>
          <w:tcPr>
            <w:tcW w:w="4500" w:type="dxa"/>
            <w:vAlign w:val="center"/>
          </w:tcPr>
          <w:p w:rsidR="00753D00" w:rsidRPr="00A0211B" w:rsidRDefault="00753D00" w:rsidP="004E5773">
            <w:r>
              <w:t xml:space="preserve">Revise </w:t>
            </w:r>
            <w:r w:rsidR="004E5773">
              <w:t>ANSI/APA PRP 210-2014</w:t>
            </w:r>
            <w:r>
              <w:t xml:space="preserve"> as marked in this ballot.</w:t>
            </w:r>
          </w:p>
        </w:tc>
        <w:tc>
          <w:tcPr>
            <w:tcW w:w="720" w:type="dxa"/>
            <w:vAlign w:val="center"/>
          </w:tcPr>
          <w:p w:rsidR="00753D00" w:rsidRPr="00A0211B" w:rsidRDefault="00753D00" w:rsidP="00330F64">
            <w:pPr>
              <w:jc w:val="center"/>
            </w:pPr>
          </w:p>
        </w:tc>
        <w:tc>
          <w:tcPr>
            <w:tcW w:w="720" w:type="dxa"/>
            <w:vAlign w:val="center"/>
          </w:tcPr>
          <w:p w:rsidR="00753D00" w:rsidRPr="00A0211B" w:rsidRDefault="00753D00" w:rsidP="00330F64">
            <w:pPr>
              <w:jc w:val="center"/>
            </w:pPr>
          </w:p>
        </w:tc>
        <w:tc>
          <w:tcPr>
            <w:tcW w:w="720" w:type="dxa"/>
            <w:vAlign w:val="center"/>
          </w:tcPr>
          <w:p w:rsidR="00753D00" w:rsidRPr="00A0211B" w:rsidRDefault="00753D00" w:rsidP="00330F64">
            <w:pPr>
              <w:jc w:val="center"/>
            </w:pPr>
          </w:p>
        </w:tc>
        <w:tc>
          <w:tcPr>
            <w:tcW w:w="810" w:type="dxa"/>
            <w:vAlign w:val="center"/>
          </w:tcPr>
          <w:p w:rsidR="00753D00" w:rsidRPr="00A0211B" w:rsidRDefault="00753D00" w:rsidP="00330F64">
            <w:pPr>
              <w:jc w:val="center"/>
            </w:pPr>
          </w:p>
        </w:tc>
      </w:tr>
    </w:tbl>
    <w:p w:rsidR="000661B0" w:rsidRDefault="000661B0">
      <w:pPr>
        <w:rPr>
          <w:b/>
          <w:sz w:val="22"/>
        </w:rPr>
      </w:pPr>
    </w:p>
    <w:p w:rsidR="004E5773" w:rsidRDefault="004E5773">
      <w:pPr>
        <w:rPr>
          <w:b/>
          <w:sz w:val="22"/>
        </w:rPr>
      </w:pPr>
    </w:p>
    <w:p w:rsidR="00753D00" w:rsidRPr="004E5773" w:rsidRDefault="00753D00" w:rsidP="00753D00">
      <w:pPr>
        <w:jc w:val="center"/>
        <w:rPr>
          <w:b/>
          <w:sz w:val="22"/>
        </w:rPr>
      </w:pPr>
      <w:r w:rsidRPr="004E5773">
        <w:rPr>
          <w:b/>
          <w:sz w:val="22"/>
        </w:rPr>
        <w:t>Ballot Comment Form for ANSI/APA PR</w:t>
      </w:r>
      <w:r w:rsidR="004E5773" w:rsidRPr="004E5773">
        <w:rPr>
          <w:b/>
          <w:sz w:val="22"/>
        </w:rPr>
        <w:t>P</w:t>
      </w:r>
      <w:r w:rsidRPr="004E5773">
        <w:rPr>
          <w:b/>
          <w:sz w:val="22"/>
        </w:rPr>
        <w:t xml:space="preserve"> </w:t>
      </w:r>
      <w:r w:rsidR="004E5773" w:rsidRPr="004E5773">
        <w:rPr>
          <w:b/>
          <w:sz w:val="22"/>
        </w:rPr>
        <w:t>210</w:t>
      </w:r>
      <w:r w:rsidRPr="004E5773">
        <w:rPr>
          <w:b/>
          <w:sz w:val="22"/>
        </w:rPr>
        <w:t>-201</w:t>
      </w:r>
      <w:r w:rsidR="004E5773" w:rsidRPr="004E5773">
        <w:rPr>
          <w:b/>
          <w:sz w:val="22"/>
        </w:rPr>
        <w:t>9</w:t>
      </w:r>
      <w:r w:rsidRPr="004E5773">
        <w:rPr>
          <w:b/>
          <w:sz w:val="22"/>
        </w:rPr>
        <w:t xml:space="preserve"> (Ballot 201</w:t>
      </w:r>
      <w:r w:rsidR="004E5773">
        <w:rPr>
          <w:b/>
          <w:sz w:val="22"/>
        </w:rPr>
        <w:t>9</w:t>
      </w:r>
      <w:r w:rsidRPr="004E5773">
        <w:rPr>
          <w:b/>
          <w:sz w:val="22"/>
        </w:rPr>
        <w:t>-1)</w:t>
      </w:r>
    </w:p>
    <w:p w:rsidR="00753D00" w:rsidRPr="00656A8D" w:rsidRDefault="00753D00" w:rsidP="00753D00">
      <w:pPr>
        <w:jc w:val="center"/>
        <w:rPr>
          <w:rFonts w:cs="Arial"/>
          <w:b/>
          <w:szCs w:val="20"/>
        </w:rPr>
      </w:pPr>
      <w:r w:rsidRPr="00656A8D">
        <w:rPr>
          <w:b/>
          <w:color w:val="FF0000"/>
        </w:rPr>
        <w:t xml:space="preserve">Required only for </w:t>
      </w:r>
      <w:r w:rsidRPr="00656A8D">
        <w:rPr>
          <w:rFonts w:cs="Arial"/>
          <w:b/>
          <w:color w:val="FF0000"/>
          <w:szCs w:val="20"/>
        </w:rPr>
        <w:t>Negative or Affirmative-with-Comment</w:t>
      </w:r>
    </w:p>
    <w:p w:rsidR="00753D00" w:rsidRPr="00656A8D" w:rsidRDefault="00753D00" w:rsidP="00753D00">
      <w:pPr>
        <w:jc w:val="center"/>
        <w:rPr>
          <w:b/>
        </w:rPr>
      </w:pPr>
      <w:r w:rsidRPr="00656A8D">
        <w:rPr>
          <w:rFonts w:cs="Arial"/>
          <w:b/>
          <w:szCs w:val="20"/>
        </w:rPr>
        <w:t>Please attach this page to the e-mail ballot return</w:t>
      </w:r>
    </w:p>
    <w:p w:rsidR="00753D00" w:rsidRDefault="00753D00" w:rsidP="00753D0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7902"/>
      </w:tblGrid>
      <w:tr w:rsidR="00753D00" w:rsidRPr="00A0211B" w:rsidTr="00330F64">
        <w:tc>
          <w:tcPr>
            <w:tcW w:w="728" w:type="dxa"/>
            <w:shd w:val="clear" w:color="auto" w:fill="C6D9F1"/>
            <w:vAlign w:val="center"/>
          </w:tcPr>
          <w:p w:rsidR="00753D00" w:rsidRPr="00A0211B" w:rsidRDefault="00753D00" w:rsidP="00330F64">
            <w:pPr>
              <w:jc w:val="center"/>
            </w:pPr>
            <w:r w:rsidRPr="00A0211B">
              <w:t>Item</w:t>
            </w:r>
          </w:p>
        </w:tc>
        <w:tc>
          <w:tcPr>
            <w:tcW w:w="7902" w:type="dxa"/>
            <w:shd w:val="clear" w:color="auto" w:fill="C6D9F1"/>
            <w:vAlign w:val="center"/>
          </w:tcPr>
          <w:p w:rsidR="00753D00" w:rsidRPr="00A0211B" w:rsidRDefault="00753D00" w:rsidP="00330F64">
            <w:pPr>
              <w:jc w:val="center"/>
            </w:pPr>
            <w:r w:rsidRPr="00A0211B">
              <w:t>Comments</w:t>
            </w:r>
          </w:p>
        </w:tc>
      </w:tr>
      <w:tr w:rsidR="00753D00" w:rsidRPr="00A0211B" w:rsidTr="00330F64">
        <w:tc>
          <w:tcPr>
            <w:tcW w:w="728" w:type="dxa"/>
            <w:vAlign w:val="center"/>
          </w:tcPr>
          <w:p w:rsidR="00753D00" w:rsidRPr="00CE3F53" w:rsidRDefault="00753D00" w:rsidP="004E5773">
            <w:pPr>
              <w:jc w:val="center"/>
              <w:rPr>
                <w:szCs w:val="20"/>
              </w:rPr>
            </w:pPr>
            <w:r>
              <w:rPr>
                <w:szCs w:val="20"/>
              </w:rPr>
              <w:t>201</w:t>
            </w:r>
            <w:r w:rsidR="004E5773">
              <w:rPr>
                <w:szCs w:val="20"/>
              </w:rPr>
              <w:t>9-1</w:t>
            </w:r>
            <w:r w:rsidR="00656A8D">
              <w:rPr>
                <w:szCs w:val="20"/>
              </w:rPr>
              <w:t>-01</w:t>
            </w:r>
          </w:p>
        </w:tc>
        <w:tc>
          <w:tcPr>
            <w:tcW w:w="7902" w:type="dxa"/>
            <w:vAlign w:val="center"/>
          </w:tcPr>
          <w:p w:rsidR="00753D00" w:rsidRPr="00A0211B" w:rsidRDefault="00753D00" w:rsidP="00330F64"/>
        </w:tc>
      </w:tr>
    </w:tbl>
    <w:p w:rsidR="00753D00" w:rsidRDefault="00753D00" w:rsidP="00753D00"/>
    <w:p w:rsidR="00753D00" w:rsidRDefault="00753D00" w:rsidP="00753D00">
      <w:pPr>
        <w:sectPr w:rsidR="00753D00" w:rsidSect="000A694F">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pgSz w:w="12240" w:h="15840"/>
          <w:pgMar w:top="1440" w:right="1800" w:bottom="1440" w:left="1800" w:header="720" w:footer="720" w:gutter="0"/>
          <w:cols w:space="720"/>
          <w:docGrid w:linePitch="272"/>
        </w:sectPr>
      </w:pPr>
    </w:p>
    <w:p w:rsidR="00416A1D" w:rsidRDefault="004E5773" w:rsidP="00416A1D">
      <w:pPr>
        <w:autoSpaceDE w:val="0"/>
        <w:autoSpaceDN w:val="0"/>
        <w:adjustRightInd w:val="0"/>
        <w:jc w:val="center"/>
        <w:rPr>
          <w:rFonts w:ascii="Arial Black" w:hAnsi="Arial Black" w:cs="Arial"/>
        </w:rPr>
      </w:pPr>
      <w:r>
        <w:rPr>
          <w:rFonts w:ascii="Arial Black" w:hAnsi="Arial Black" w:cs="Arial"/>
        </w:rPr>
        <w:lastRenderedPageBreak/>
        <w:t>ANSI/APA PRP 210-2019</w:t>
      </w:r>
    </w:p>
    <w:p w:rsidR="00416A1D" w:rsidRPr="00B578AC" w:rsidRDefault="00416A1D" w:rsidP="00416A1D">
      <w:pPr>
        <w:autoSpaceDE w:val="0"/>
        <w:autoSpaceDN w:val="0"/>
        <w:adjustRightInd w:val="0"/>
        <w:jc w:val="center"/>
        <w:rPr>
          <w:rFonts w:ascii="Arial Black" w:hAnsi="Arial Black" w:cs="Arial"/>
          <w:color w:val="FF0000"/>
        </w:rPr>
      </w:pPr>
      <w:r>
        <w:rPr>
          <w:rFonts w:ascii="Arial Black" w:hAnsi="Arial Black" w:cs="Arial"/>
          <w:color w:val="FF0000"/>
        </w:rPr>
        <w:t>Ballot 201</w:t>
      </w:r>
      <w:r w:rsidR="004E5773">
        <w:rPr>
          <w:rFonts w:ascii="Arial Black" w:hAnsi="Arial Black" w:cs="Arial"/>
          <w:color w:val="FF0000"/>
        </w:rPr>
        <w:t>9</w:t>
      </w:r>
      <w:r w:rsidR="00753D00">
        <w:rPr>
          <w:rFonts w:ascii="Arial Black" w:hAnsi="Arial Black" w:cs="Arial"/>
          <w:color w:val="FF0000"/>
        </w:rPr>
        <w:t>-1</w:t>
      </w:r>
      <w:r>
        <w:rPr>
          <w:rFonts w:ascii="Arial Black" w:hAnsi="Arial Black" w:cs="Arial"/>
          <w:color w:val="FF0000"/>
        </w:rPr>
        <w:t xml:space="preserve"> (1 item)</w:t>
      </w:r>
    </w:p>
    <w:p w:rsidR="00416A1D" w:rsidRDefault="00416A1D" w:rsidP="00416A1D">
      <w:pPr>
        <w:autoSpaceDE w:val="0"/>
        <w:autoSpaceDN w:val="0"/>
        <w:adjustRightInd w:val="0"/>
        <w:jc w:val="right"/>
        <w:rPr>
          <w:rFonts w:cs="Arial"/>
        </w:rPr>
      </w:pPr>
    </w:p>
    <w:p w:rsidR="00416A1D" w:rsidRDefault="00416A1D" w:rsidP="00416A1D">
      <w:pPr>
        <w:tabs>
          <w:tab w:val="left" w:pos="2880"/>
          <w:tab w:val="left" w:pos="5040"/>
        </w:tabs>
        <w:autoSpaceDE w:val="0"/>
        <w:autoSpaceDN w:val="0"/>
        <w:adjustRightInd w:val="0"/>
      </w:pPr>
      <w:r>
        <w:rPr>
          <w:rFonts w:cs="Arial"/>
        </w:rPr>
        <w:t>Notations:</w:t>
      </w:r>
      <w:r>
        <w:rPr>
          <w:rFonts w:cs="Arial"/>
        </w:rPr>
        <w:tab/>
      </w:r>
      <w:r>
        <w:t>Inserted Text</w:t>
      </w:r>
      <w:r>
        <w:tab/>
      </w:r>
      <w:r w:rsidRPr="002863DA">
        <w:rPr>
          <w:color w:val="FF0000"/>
          <w:u w:val="single"/>
        </w:rPr>
        <w:t>New Text</w:t>
      </w:r>
    </w:p>
    <w:p w:rsidR="00416A1D" w:rsidRDefault="00416A1D" w:rsidP="00416A1D">
      <w:pPr>
        <w:tabs>
          <w:tab w:val="left" w:pos="5040"/>
        </w:tabs>
        <w:ind w:left="2880"/>
      </w:pPr>
      <w:r>
        <w:t>Deleted Text</w:t>
      </w:r>
      <w:r>
        <w:tab/>
      </w:r>
      <w:r w:rsidRPr="000267A0">
        <w:rPr>
          <w:strike/>
          <w:color w:val="0000FF"/>
        </w:rPr>
        <w:t>Old Text</w:t>
      </w:r>
    </w:p>
    <w:p w:rsidR="00416A1D" w:rsidRDefault="00416A1D" w:rsidP="00416A1D">
      <w:pPr>
        <w:autoSpaceDE w:val="0"/>
        <w:autoSpaceDN w:val="0"/>
        <w:adjustRightInd w:val="0"/>
        <w:rPr>
          <w:rFonts w:cs="Arial"/>
        </w:rPr>
      </w:pPr>
    </w:p>
    <w:p w:rsidR="00416A1D" w:rsidRPr="000267A0" w:rsidRDefault="00416A1D" w:rsidP="00416A1D">
      <w:pPr>
        <w:autoSpaceDE w:val="0"/>
        <w:autoSpaceDN w:val="0"/>
        <w:adjustRightInd w:val="0"/>
        <w:rPr>
          <w:rFonts w:cs="Arial"/>
          <w:b/>
          <w:iCs/>
        </w:rPr>
      </w:pPr>
      <w:r>
        <w:rPr>
          <w:rFonts w:cs="Arial"/>
          <w:b/>
          <w:iCs/>
          <w:highlight w:val="yellow"/>
          <w:u w:val="single"/>
        </w:rPr>
        <w:t>Item</w:t>
      </w:r>
      <w:r w:rsidRPr="00F02B84">
        <w:rPr>
          <w:rFonts w:cs="Arial"/>
          <w:b/>
          <w:iCs/>
          <w:highlight w:val="yellow"/>
          <w:u w:val="single"/>
        </w:rPr>
        <w:t xml:space="preserve"> </w:t>
      </w:r>
      <w:r w:rsidR="00753D00">
        <w:rPr>
          <w:rFonts w:cs="Arial"/>
          <w:b/>
          <w:iCs/>
          <w:highlight w:val="yellow"/>
          <w:u w:val="single"/>
        </w:rPr>
        <w:t>201</w:t>
      </w:r>
      <w:r w:rsidR="004E5773">
        <w:rPr>
          <w:rFonts w:cs="Arial"/>
          <w:b/>
          <w:iCs/>
          <w:highlight w:val="yellow"/>
          <w:u w:val="single"/>
        </w:rPr>
        <w:t>9</w:t>
      </w:r>
      <w:r>
        <w:rPr>
          <w:rFonts w:cs="Arial"/>
          <w:b/>
          <w:iCs/>
          <w:highlight w:val="yellow"/>
          <w:u w:val="single"/>
        </w:rPr>
        <w:t>-</w:t>
      </w:r>
      <w:r w:rsidR="00753D00">
        <w:rPr>
          <w:rFonts w:cs="Arial"/>
          <w:b/>
          <w:iCs/>
          <w:highlight w:val="yellow"/>
          <w:u w:val="single"/>
        </w:rPr>
        <w:t>1</w:t>
      </w:r>
      <w:r w:rsidR="00656A8D">
        <w:rPr>
          <w:rFonts w:cs="Arial"/>
          <w:b/>
          <w:iCs/>
          <w:highlight w:val="yellow"/>
          <w:u w:val="single"/>
        </w:rPr>
        <w:t>-01</w:t>
      </w:r>
      <w:r w:rsidRPr="00F02B84">
        <w:rPr>
          <w:rFonts w:cs="Arial"/>
          <w:b/>
          <w:iCs/>
          <w:highlight w:val="yellow"/>
        </w:rPr>
        <w:t>:</w:t>
      </w:r>
      <w:r w:rsidRPr="00EF3D69">
        <w:rPr>
          <w:rFonts w:cs="Arial"/>
          <w:b/>
          <w:iCs/>
        </w:rPr>
        <w:t xml:space="preserve"> </w:t>
      </w:r>
      <w:r>
        <w:rPr>
          <w:rFonts w:cs="Arial"/>
          <w:b/>
          <w:iCs/>
        </w:rPr>
        <w:t xml:space="preserve"> </w:t>
      </w:r>
      <w:r w:rsidR="00753D00">
        <w:rPr>
          <w:rFonts w:cs="Arial"/>
          <w:b/>
          <w:iCs/>
        </w:rPr>
        <w:t xml:space="preserve">Revise </w:t>
      </w:r>
      <w:r w:rsidR="004E5773">
        <w:rPr>
          <w:rFonts w:cs="Arial"/>
          <w:b/>
          <w:iCs/>
        </w:rPr>
        <w:t>ANSI/APA PRP 210-2014</w:t>
      </w:r>
      <w:r>
        <w:rPr>
          <w:rFonts w:cs="Arial"/>
          <w:b/>
          <w:iCs/>
        </w:rPr>
        <w:t xml:space="preserve"> </w:t>
      </w:r>
      <w:r w:rsidR="004E5773">
        <w:rPr>
          <w:rFonts w:cs="Arial"/>
          <w:b/>
          <w:iCs/>
        </w:rPr>
        <w:t xml:space="preserve">as </w:t>
      </w:r>
      <w:r w:rsidR="00656A8D">
        <w:rPr>
          <w:rFonts w:cs="Arial"/>
          <w:b/>
          <w:iCs/>
        </w:rPr>
        <w:t>shown below.</w:t>
      </w:r>
    </w:p>
    <w:p w:rsidR="00416A1D" w:rsidRDefault="00416A1D" w:rsidP="00416A1D">
      <w:pPr>
        <w:autoSpaceDE w:val="0"/>
        <w:autoSpaceDN w:val="0"/>
        <w:adjustRightInd w:val="0"/>
        <w:rPr>
          <w:rFonts w:cs="Arial"/>
          <w:iCs/>
        </w:rPr>
      </w:pPr>
    </w:p>
    <w:p w:rsidR="00F60876" w:rsidRDefault="00416A1D" w:rsidP="00416A1D">
      <w:pPr>
        <w:autoSpaceDE w:val="0"/>
        <w:autoSpaceDN w:val="0"/>
        <w:adjustRightInd w:val="0"/>
        <w:rPr>
          <w:rFonts w:cs="Arial"/>
        </w:rPr>
      </w:pPr>
      <w:r w:rsidRPr="00DC6AE6">
        <w:rPr>
          <w:rFonts w:cs="Arial"/>
          <w:b/>
          <w:bCs/>
        </w:rPr>
        <w:t>Rationale:</w:t>
      </w:r>
      <w:r w:rsidRPr="00DC6AE6">
        <w:rPr>
          <w:rFonts w:cs="Arial"/>
          <w:bCs/>
        </w:rPr>
        <w:t xml:space="preserve"> </w:t>
      </w:r>
      <w:r w:rsidR="00DC6AE6" w:rsidRPr="00DC6AE6">
        <w:rPr>
          <w:rFonts w:cs="Arial"/>
          <w:bCs/>
        </w:rPr>
        <w:t xml:space="preserve">This ballot is issued based on the </w:t>
      </w:r>
      <w:r w:rsidR="00BE2312">
        <w:rPr>
          <w:rFonts w:cs="Arial"/>
          <w:bCs/>
        </w:rPr>
        <w:t xml:space="preserve">call-for-change-proposals from the committee.  These revisions, mostly editorial, were </w:t>
      </w:r>
      <w:r w:rsidR="00DC6AE6" w:rsidRPr="00DC6AE6">
        <w:rPr>
          <w:rFonts w:cs="Arial"/>
          <w:bCs/>
        </w:rPr>
        <w:t>review</w:t>
      </w:r>
      <w:r w:rsidR="00BE2312">
        <w:rPr>
          <w:rFonts w:cs="Arial"/>
          <w:bCs/>
        </w:rPr>
        <w:t>ed</w:t>
      </w:r>
      <w:r w:rsidR="00DC6AE6" w:rsidRPr="00DC6AE6">
        <w:rPr>
          <w:rFonts w:cs="Arial"/>
          <w:bCs/>
        </w:rPr>
        <w:t xml:space="preserve"> at</w:t>
      </w:r>
      <w:r w:rsidR="004E5773" w:rsidRPr="00DC6AE6">
        <w:rPr>
          <w:rFonts w:cs="Arial"/>
          <w:bCs/>
        </w:rPr>
        <w:t xml:space="preserve"> the </w:t>
      </w:r>
      <w:r w:rsidR="00DC6AE6" w:rsidRPr="00DC6AE6">
        <w:rPr>
          <w:rFonts w:cs="Arial"/>
          <w:bCs/>
        </w:rPr>
        <w:t xml:space="preserve">last </w:t>
      </w:r>
      <w:r w:rsidR="004E5773" w:rsidRPr="00DC6AE6">
        <w:rPr>
          <w:rFonts w:cs="Arial"/>
          <w:bCs/>
        </w:rPr>
        <w:t>Committee meeting</w:t>
      </w:r>
      <w:r w:rsidR="00DC6AE6" w:rsidRPr="00DC6AE6">
        <w:rPr>
          <w:rFonts w:cs="Arial"/>
          <w:bCs/>
        </w:rPr>
        <w:t xml:space="preserve"> </w:t>
      </w:r>
      <w:r w:rsidR="004E5773" w:rsidRPr="00DC6AE6">
        <w:rPr>
          <w:rFonts w:cs="Arial"/>
          <w:bCs/>
        </w:rPr>
        <w:t>on October 17, 2018</w:t>
      </w:r>
      <w:r w:rsidR="00DC6AE6" w:rsidRPr="00DC6AE6">
        <w:rPr>
          <w:rFonts w:cs="Arial"/>
          <w:bCs/>
        </w:rPr>
        <w:t xml:space="preserve"> (the meeting minutes are attached for information) with the only exception of Section 10.2.3(c)</w:t>
      </w:r>
      <w:r w:rsidR="00BE2312">
        <w:rPr>
          <w:rFonts w:cs="Arial"/>
          <w:bCs/>
        </w:rPr>
        <w:t xml:space="preserve">, which </w:t>
      </w:r>
      <w:r w:rsidR="00DC6AE6" w:rsidRPr="00DC6AE6">
        <w:rPr>
          <w:rFonts w:cs="Arial"/>
          <w:bCs/>
        </w:rPr>
        <w:t xml:space="preserve">was brought up </w:t>
      </w:r>
      <w:r w:rsidR="00BE2312">
        <w:rPr>
          <w:rFonts w:cs="Arial"/>
          <w:bCs/>
        </w:rPr>
        <w:t>as t</w:t>
      </w:r>
      <w:r w:rsidR="00DC6AE6" w:rsidRPr="00DC6AE6">
        <w:t>here is a confusion that the required marking of “ANSI/APA” in the product may be misconstrued as the product is certified by APA, while it may be in direct conflict with the certification mark of the certification agency that also appears in the same product if the product is n</w:t>
      </w:r>
      <w:r w:rsidR="00933B41">
        <w:t>ot certified by APA.  T</w:t>
      </w:r>
      <w:r w:rsidR="00DB3592">
        <w:t xml:space="preserve">he </w:t>
      </w:r>
      <w:proofErr w:type="spellStart"/>
      <w:r w:rsidR="00DB3592">
        <w:t>ExSub</w:t>
      </w:r>
      <w:proofErr w:type="spellEnd"/>
      <w:r w:rsidR="00DB3592">
        <w:t xml:space="preserve"> of this Committee unanimously recommended</w:t>
      </w:r>
      <w:r w:rsidR="00DC6AE6" w:rsidRPr="00DC6AE6">
        <w:t xml:space="preserve"> that Section 10.2.3(c) be modified by deleting “/APA” in the product marking symbol.  </w:t>
      </w:r>
      <w:r w:rsidR="00DB3592">
        <w:t xml:space="preserve">This change will not violate the </w:t>
      </w:r>
      <w:r w:rsidR="00DC6AE6" w:rsidRPr="00DC6AE6">
        <w:t xml:space="preserve">ANSI </w:t>
      </w:r>
      <w:r w:rsidR="00DB3592">
        <w:t>regulations</w:t>
      </w:r>
      <w:r w:rsidR="00DC6AE6" w:rsidRPr="00DC6AE6">
        <w:t>.</w:t>
      </w:r>
      <w:bookmarkStart w:id="0" w:name="_GoBack"/>
      <w:bookmarkEnd w:id="0"/>
    </w:p>
    <w:p w:rsidR="00BE2312" w:rsidRDefault="00BE2312" w:rsidP="00416A1D">
      <w:pPr>
        <w:autoSpaceDE w:val="0"/>
        <w:autoSpaceDN w:val="0"/>
        <w:adjustRightInd w:val="0"/>
        <w:rPr>
          <w:rFonts w:cs="Arial"/>
        </w:rPr>
      </w:pPr>
    </w:p>
    <w:p w:rsidR="00BE2312" w:rsidRDefault="00BE2312" w:rsidP="00416A1D">
      <w:pPr>
        <w:autoSpaceDE w:val="0"/>
        <w:autoSpaceDN w:val="0"/>
        <w:adjustRightInd w:val="0"/>
        <w:rPr>
          <w:rFonts w:cs="Arial"/>
        </w:rPr>
      </w:pPr>
    </w:p>
    <w:p w:rsidR="00416A1D" w:rsidRDefault="00416A1D" w:rsidP="00416A1D">
      <w:pPr>
        <w:autoSpaceDE w:val="0"/>
        <w:autoSpaceDN w:val="0"/>
        <w:adjustRightInd w:val="0"/>
        <w:rPr>
          <w:rFonts w:cs="Arial"/>
          <w:b/>
          <w:iCs/>
        </w:rPr>
      </w:pPr>
      <w:r>
        <w:rPr>
          <w:rFonts w:cs="Arial"/>
          <w:b/>
          <w:iCs/>
        </w:rPr>
        <w:t>Ballot</w:t>
      </w:r>
      <w:r w:rsidRPr="00806B85">
        <w:rPr>
          <w:rFonts w:cs="Arial"/>
          <w:b/>
          <w:iCs/>
        </w:rPr>
        <w:t>:</w:t>
      </w:r>
    </w:p>
    <w:p w:rsidR="00154EB2" w:rsidRDefault="00154EB2" w:rsidP="00416A1D">
      <w:pPr>
        <w:autoSpaceDE w:val="0"/>
        <w:autoSpaceDN w:val="0"/>
        <w:adjustRightInd w:val="0"/>
        <w:rPr>
          <w:rFonts w:cs="Arial"/>
        </w:rPr>
      </w:pPr>
    </w:p>
    <w:p w:rsidR="004E5773" w:rsidRPr="0004487A" w:rsidRDefault="004E5773" w:rsidP="004E5773">
      <w:pPr>
        <w:autoSpaceDE w:val="0"/>
        <w:autoSpaceDN w:val="0"/>
        <w:adjustRightInd w:val="0"/>
        <w:rPr>
          <w:rFonts w:cs="Arial"/>
        </w:rPr>
      </w:pPr>
      <w:r w:rsidRPr="0004487A">
        <w:rPr>
          <w:rFonts w:cs="Arial"/>
        </w:rPr>
        <w:t>3. REFERENCED DOCUMENTS</w:t>
      </w:r>
    </w:p>
    <w:p w:rsidR="004E5773" w:rsidRPr="0004487A" w:rsidRDefault="004E5773" w:rsidP="004E5773">
      <w:pPr>
        <w:autoSpaceDE w:val="0"/>
        <w:autoSpaceDN w:val="0"/>
        <w:adjustRightInd w:val="0"/>
        <w:rPr>
          <w:rFonts w:cs="Arial"/>
        </w:rPr>
      </w:pPr>
      <w:r w:rsidRPr="0004487A">
        <w:rPr>
          <w:rFonts w:cs="Arial"/>
        </w:rPr>
        <w:t>3.1. ASTM Standards</w:t>
      </w:r>
    </w:p>
    <w:p w:rsidR="004E5773" w:rsidRPr="0004487A" w:rsidRDefault="004E5773" w:rsidP="004E5773">
      <w:pPr>
        <w:autoSpaceDE w:val="0"/>
        <w:autoSpaceDN w:val="0"/>
        <w:adjustRightInd w:val="0"/>
        <w:rPr>
          <w:rFonts w:cs="Arial"/>
        </w:rPr>
      </w:pPr>
      <w:r w:rsidRPr="0004487A">
        <w:rPr>
          <w:rFonts w:cs="Arial"/>
        </w:rPr>
        <w:t>D1037-12 Standard Test Methods for Evaluating Properties of Wood-Base Fiber and Particle Panel Materials</w:t>
      </w:r>
    </w:p>
    <w:p w:rsidR="004E5773" w:rsidRPr="0004487A" w:rsidRDefault="004E5773" w:rsidP="004E5773">
      <w:pPr>
        <w:autoSpaceDE w:val="0"/>
        <w:autoSpaceDN w:val="0"/>
        <w:adjustRightInd w:val="0"/>
        <w:rPr>
          <w:rFonts w:cs="Arial"/>
        </w:rPr>
      </w:pPr>
      <w:r w:rsidRPr="0004487A">
        <w:rPr>
          <w:rFonts w:cs="Arial"/>
        </w:rPr>
        <w:t>D1761-12 Standard Test Methods for Mechanical Fasteners in Wood</w:t>
      </w:r>
    </w:p>
    <w:p w:rsidR="004E5773" w:rsidRPr="0004487A" w:rsidRDefault="004E5773" w:rsidP="004E5773">
      <w:pPr>
        <w:autoSpaceDE w:val="0"/>
        <w:autoSpaceDN w:val="0"/>
        <w:adjustRightInd w:val="0"/>
        <w:rPr>
          <w:rFonts w:cs="Arial"/>
        </w:rPr>
      </w:pPr>
      <w:r w:rsidRPr="0004487A">
        <w:rPr>
          <w:rFonts w:cs="Arial"/>
        </w:rPr>
        <w:t>D3043-</w:t>
      </w:r>
      <w:r w:rsidRPr="0004487A">
        <w:rPr>
          <w:rFonts w:cs="Arial"/>
          <w:color w:val="FF0000"/>
          <w:u w:val="single"/>
        </w:rPr>
        <w:t>17</w:t>
      </w:r>
      <w:r w:rsidRPr="0004487A">
        <w:rPr>
          <w:rFonts w:cs="Arial"/>
          <w:strike/>
          <w:color w:val="0000FF"/>
        </w:rPr>
        <w:t>00 (2011)</w:t>
      </w:r>
      <w:r w:rsidRPr="0004487A">
        <w:rPr>
          <w:rFonts w:cs="Arial"/>
        </w:rPr>
        <w:t xml:space="preserve"> Standard Test Methods for Structural Panels in Flexure</w:t>
      </w:r>
    </w:p>
    <w:p w:rsidR="004E5773" w:rsidRPr="0004487A" w:rsidRDefault="004E5773" w:rsidP="004E5773">
      <w:pPr>
        <w:autoSpaceDE w:val="0"/>
        <w:autoSpaceDN w:val="0"/>
        <w:adjustRightInd w:val="0"/>
        <w:rPr>
          <w:rFonts w:cs="Arial"/>
        </w:rPr>
      </w:pPr>
      <w:r w:rsidRPr="0004487A">
        <w:rPr>
          <w:rFonts w:cs="Arial"/>
        </w:rPr>
        <w:t>D3501-05a (2011) Standard Test Methods for Wood-Based Structural Panels in Compression</w:t>
      </w:r>
    </w:p>
    <w:p w:rsidR="004E5773" w:rsidRPr="0004487A" w:rsidRDefault="004E5773" w:rsidP="004E5773">
      <w:pPr>
        <w:autoSpaceDE w:val="0"/>
        <w:autoSpaceDN w:val="0"/>
        <w:adjustRightInd w:val="0"/>
        <w:rPr>
          <w:rFonts w:cs="Arial"/>
        </w:rPr>
      </w:pPr>
      <w:r w:rsidRPr="0004487A">
        <w:rPr>
          <w:rFonts w:cs="Arial"/>
        </w:rPr>
        <w:t>D4442-</w:t>
      </w:r>
      <w:r w:rsidRPr="0004487A">
        <w:rPr>
          <w:rFonts w:cs="Arial"/>
          <w:color w:val="FF0000"/>
          <w:u w:val="single"/>
        </w:rPr>
        <w:t>16</w:t>
      </w:r>
      <w:r w:rsidRPr="0004487A">
        <w:rPr>
          <w:rFonts w:cs="Arial"/>
          <w:strike/>
          <w:color w:val="0000FF"/>
        </w:rPr>
        <w:t>07</w:t>
      </w:r>
      <w:r w:rsidRPr="0004487A">
        <w:rPr>
          <w:rFonts w:cs="Arial"/>
        </w:rPr>
        <w:t xml:space="preserve"> Standard Test Methods for Direct Moisture Content Measurement of Wood and Wood-Base Materials</w:t>
      </w:r>
    </w:p>
    <w:p w:rsidR="004E5773" w:rsidRPr="0004487A" w:rsidRDefault="004E5773" w:rsidP="004E5773">
      <w:pPr>
        <w:autoSpaceDE w:val="0"/>
        <w:autoSpaceDN w:val="0"/>
        <w:adjustRightInd w:val="0"/>
        <w:rPr>
          <w:rFonts w:cs="Arial"/>
        </w:rPr>
      </w:pPr>
      <w:r w:rsidRPr="0004487A">
        <w:rPr>
          <w:rFonts w:cs="Arial"/>
        </w:rPr>
        <w:t>E72-</w:t>
      </w:r>
      <w:r w:rsidRPr="0004487A">
        <w:rPr>
          <w:rFonts w:cs="Arial"/>
          <w:color w:val="FF0000"/>
          <w:u w:val="single"/>
        </w:rPr>
        <w:t>15</w:t>
      </w:r>
      <w:r w:rsidRPr="0004487A">
        <w:rPr>
          <w:rFonts w:cs="Arial"/>
          <w:strike/>
          <w:color w:val="0000FF"/>
        </w:rPr>
        <w:t>13a</w:t>
      </w:r>
      <w:r w:rsidRPr="0004487A">
        <w:rPr>
          <w:rFonts w:cs="Arial"/>
        </w:rPr>
        <w:t xml:space="preserve"> Test Methods of Conducting Strength Tests of Panels for Building Construction</w:t>
      </w:r>
    </w:p>
    <w:p w:rsidR="004E5773" w:rsidRPr="0004487A" w:rsidRDefault="004E5773" w:rsidP="004E5773">
      <w:pPr>
        <w:autoSpaceDE w:val="0"/>
        <w:autoSpaceDN w:val="0"/>
        <w:adjustRightInd w:val="0"/>
        <w:rPr>
          <w:rFonts w:cs="Arial"/>
        </w:rPr>
      </w:pPr>
      <w:r w:rsidRPr="0004487A">
        <w:rPr>
          <w:rFonts w:cs="Arial"/>
        </w:rPr>
        <w:t>E661-03 (</w:t>
      </w:r>
      <w:r w:rsidRPr="0004487A">
        <w:rPr>
          <w:rFonts w:cs="Arial"/>
          <w:color w:val="FF0000"/>
          <w:u w:val="single"/>
        </w:rPr>
        <w:t>2015e1</w:t>
      </w:r>
      <w:r w:rsidRPr="0004487A">
        <w:rPr>
          <w:rFonts w:cs="Arial"/>
          <w:strike/>
          <w:color w:val="0000FF"/>
        </w:rPr>
        <w:t>2009</w:t>
      </w:r>
      <w:r w:rsidRPr="0004487A">
        <w:rPr>
          <w:rFonts w:cs="Arial"/>
        </w:rPr>
        <w:t>) Standard Test Method for Performance of Wood and Wood-Based Floor and Roof Sheathing Under Concentrated Static and Impact Loads</w:t>
      </w:r>
    </w:p>
    <w:p w:rsidR="004E5773" w:rsidRPr="0004487A" w:rsidRDefault="004E5773" w:rsidP="004E5773">
      <w:pPr>
        <w:autoSpaceDE w:val="0"/>
        <w:autoSpaceDN w:val="0"/>
        <w:adjustRightInd w:val="0"/>
        <w:rPr>
          <w:rFonts w:cs="Arial"/>
        </w:rPr>
      </w:pPr>
    </w:p>
    <w:p w:rsidR="004E5773" w:rsidRPr="0004487A" w:rsidRDefault="004E5773" w:rsidP="004E5773">
      <w:pPr>
        <w:autoSpaceDE w:val="0"/>
        <w:autoSpaceDN w:val="0"/>
        <w:adjustRightInd w:val="0"/>
        <w:rPr>
          <w:rFonts w:cs="Arial"/>
        </w:rPr>
      </w:pPr>
      <w:r w:rsidRPr="0004487A">
        <w:rPr>
          <w:rFonts w:cs="Arial"/>
        </w:rPr>
        <w:t>3.2. Other Standards and Referenced Documents</w:t>
      </w:r>
    </w:p>
    <w:p w:rsidR="004E5773" w:rsidRPr="0004487A" w:rsidRDefault="004E5773" w:rsidP="004E5773">
      <w:pPr>
        <w:autoSpaceDE w:val="0"/>
        <w:autoSpaceDN w:val="0"/>
        <w:adjustRightInd w:val="0"/>
        <w:rPr>
          <w:rFonts w:cs="Arial"/>
        </w:rPr>
      </w:pPr>
      <w:r w:rsidRPr="0004487A">
        <w:rPr>
          <w:rFonts w:cs="Arial"/>
        </w:rPr>
        <w:t>ANSI</w:t>
      </w:r>
      <w:r w:rsidRPr="0004487A">
        <w:rPr>
          <w:rFonts w:cs="Arial"/>
          <w:strike/>
          <w:color w:val="0000FF"/>
        </w:rPr>
        <w:t>/AHA</w:t>
      </w:r>
      <w:r w:rsidRPr="0004487A">
        <w:rPr>
          <w:rFonts w:cs="Arial"/>
        </w:rPr>
        <w:t xml:space="preserve"> A135.4-2012 American National Standard for Basic Hardboard</w:t>
      </w:r>
    </w:p>
    <w:p w:rsidR="004E5773" w:rsidRPr="0004487A" w:rsidRDefault="004E5773" w:rsidP="004E5773">
      <w:pPr>
        <w:autoSpaceDE w:val="0"/>
        <w:autoSpaceDN w:val="0"/>
        <w:adjustRightInd w:val="0"/>
        <w:rPr>
          <w:rFonts w:cs="Arial"/>
        </w:rPr>
      </w:pPr>
      <w:r w:rsidRPr="0004487A">
        <w:rPr>
          <w:rFonts w:cs="Arial"/>
        </w:rPr>
        <w:t>AWPA U1-</w:t>
      </w:r>
      <w:r w:rsidRPr="0004487A">
        <w:rPr>
          <w:rFonts w:cs="Arial"/>
          <w:color w:val="FF0000"/>
          <w:u w:val="single"/>
        </w:rPr>
        <w:t>18</w:t>
      </w:r>
      <w:r w:rsidRPr="0004487A">
        <w:rPr>
          <w:rFonts w:cs="Arial"/>
          <w:strike/>
          <w:color w:val="0000FF"/>
        </w:rPr>
        <w:t>13</w:t>
      </w:r>
      <w:r w:rsidRPr="0004487A">
        <w:rPr>
          <w:rFonts w:cs="Arial"/>
        </w:rPr>
        <w:t xml:space="preserve"> Use Category System: User Specification for Treated Wood</w:t>
      </w:r>
    </w:p>
    <w:p w:rsidR="004E5773" w:rsidRPr="0004487A" w:rsidRDefault="004E5773" w:rsidP="004E5773">
      <w:pPr>
        <w:rPr>
          <w:rFonts w:cs="Arial"/>
        </w:rPr>
      </w:pPr>
      <w:r w:rsidRPr="0004487A">
        <w:rPr>
          <w:rFonts w:cs="Arial"/>
        </w:rPr>
        <w:t>Voluntary Product Standard PS 1-09 Structural Plywood</w:t>
      </w:r>
    </w:p>
    <w:p w:rsidR="004E5773" w:rsidRPr="0004487A" w:rsidRDefault="004E5773" w:rsidP="004E5773">
      <w:pPr>
        <w:rPr>
          <w:rFonts w:cs="Arial"/>
        </w:rPr>
      </w:pPr>
    </w:p>
    <w:p w:rsidR="004E5773" w:rsidRPr="0004487A" w:rsidRDefault="004E5773" w:rsidP="004E5773">
      <w:pPr>
        <w:autoSpaceDE w:val="0"/>
        <w:autoSpaceDN w:val="0"/>
        <w:adjustRightInd w:val="0"/>
        <w:rPr>
          <w:rFonts w:cs="Arial"/>
        </w:rPr>
      </w:pPr>
      <w:r w:rsidRPr="0004487A">
        <w:rPr>
          <w:rFonts w:cs="Arial"/>
        </w:rPr>
        <w:t>5.2. Hardboard Face</w:t>
      </w:r>
    </w:p>
    <w:p w:rsidR="004E5773" w:rsidRPr="0004487A" w:rsidRDefault="004E5773" w:rsidP="004E5773">
      <w:pPr>
        <w:rPr>
          <w:rFonts w:cs="Arial"/>
        </w:rPr>
      </w:pPr>
      <w:r w:rsidRPr="0004487A">
        <w:rPr>
          <w:rFonts w:cs="Arial"/>
        </w:rPr>
        <w:t>The hardboard face shall comply with the requirements of Class 1 of ANSI</w:t>
      </w:r>
      <w:r w:rsidRPr="0004487A">
        <w:rPr>
          <w:rFonts w:cs="Arial"/>
          <w:strike/>
          <w:color w:val="0000FF"/>
        </w:rPr>
        <w:t>/AHA</w:t>
      </w:r>
      <w:r w:rsidRPr="0004487A">
        <w:rPr>
          <w:rFonts w:cs="Arial"/>
        </w:rPr>
        <w:t xml:space="preserve"> A135.4.</w:t>
      </w:r>
    </w:p>
    <w:p w:rsidR="004E5773" w:rsidRPr="0004487A" w:rsidRDefault="004E5773" w:rsidP="004E5773">
      <w:pPr>
        <w:pStyle w:val="Body"/>
        <w:keepNext/>
        <w:tabs>
          <w:tab w:val="clear" w:pos="900"/>
        </w:tabs>
        <w:ind w:firstLine="0"/>
        <w:rPr>
          <w:sz w:val="20"/>
        </w:rPr>
      </w:pPr>
      <w:r w:rsidRPr="0004487A">
        <w:rPr>
          <w:rFonts w:cs="Arial"/>
          <w:sz w:val="20"/>
        </w:rPr>
        <w:t>Table 5</w:t>
      </w:r>
      <w:r>
        <w:rPr>
          <w:rFonts w:cs="Arial"/>
          <w:sz w:val="20"/>
        </w:rPr>
        <w:t xml:space="preserve">.  </w:t>
      </w:r>
      <w:r w:rsidRPr="0004487A">
        <w:rPr>
          <w:rFonts w:cs="Arial"/>
          <w:sz w:val="20"/>
        </w:rPr>
        <w:t>Fastener Head Pull-Through Criteria</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6750"/>
        <w:gridCol w:w="1800"/>
      </w:tblGrid>
      <w:tr w:rsidR="004E5773" w:rsidRPr="0004487A" w:rsidTr="00724820">
        <w:tc>
          <w:tcPr>
            <w:tcW w:w="1705" w:type="dxa"/>
            <w:vAlign w:val="center"/>
          </w:tcPr>
          <w:p w:rsidR="004E5773" w:rsidRPr="0004487A" w:rsidRDefault="004E5773" w:rsidP="00724820">
            <w:pPr>
              <w:pStyle w:val="Body"/>
              <w:keepNext/>
              <w:tabs>
                <w:tab w:val="clear" w:pos="900"/>
              </w:tabs>
              <w:spacing w:before="0"/>
              <w:ind w:firstLine="0"/>
              <w:jc w:val="center"/>
              <w:rPr>
                <w:sz w:val="20"/>
              </w:rPr>
            </w:pPr>
            <w:r w:rsidRPr="0004487A">
              <w:rPr>
                <w:rFonts w:cs="Arial"/>
                <w:sz w:val="20"/>
              </w:rPr>
              <w:t>Test Exposure Conditions</w:t>
            </w:r>
          </w:p>
        </w:tc>
        <w:tc>
          <w:tcPr>
            <w:tcW w:w="6750" w:type="dxa"/>
            <w:vAlign w:val="center"/>
          </w:tcPr>
          <w:p w:rsidR="004E5773" w:rsidRPr="00E44680" w:rsidRDefault="004E5773" w:rsidP="00724820">
            <w:pPr>
              <w:pStyle w:val="Body"/>
              <w:keepNext/>
              <w:spacing w:before="0"/>
              <w:jc w:val="center"/>
              <w:rPr>
                <w:rFonts w:cs="Arial"/>
                <w:strike/>
                <w:color w:val="0000FF"/>
                <w:sz w:val="20"/>
                <w:vertAlign w:val="superscript"/>
              </w:rPr>
            </w:pPr>
            <w:r w:rsidRPr="0004487A">
              <w:rPr>
                <w:rFonts w:cs="Arial"/>
                <w:sz w:val="20"/>
              </w:rPr>
              <w:t>Nail Size</w:t>
            </w:r>
            <w:r w:rsidRPr="003068D2">
              <w:rPr>
                <w:rFonts w:cs="Arial"/>
                <w:sz w:val="20"/>
                <w:vertAlign w:val="superscript"/>
              </w:rPr>
              <w:t>(a)</w:t>
            </w:r>
          </w:p>
        </w:tc>
        <w:tc>
          <w:tcPr>
            <w:tcW w:w="1800" w:type="dxa"/>
            <w:vAlign w:val="center"/>
          </w:tcPr>
          <w:p w:rsidR="004E5773" w:rsidRPr="0004487A" w:rsidRDefault="004E5773" w:rsidP="00724820">
            <w:pPr>
              <w:pStyle w:val="Body"/>
              <w:keepNext/>
              <w:spacing w:before="0"/>
              <w:jc w:val="center"/>
              <w:rPr>
                <w:sz w:val="20"/>
              </w:rPr>
            </w:pPr>
            <w:r w:rsidRPr="0004487A">
              <w:rPr>
                <w:rFonts w:cs="Arial"/>
                <w:sz w:val="20"/>
              </w:rPr>
              <w:t>Minimum Ultimate Load</w:t>
            </w:r>
          </w:p>
        </w:tc>
      </w:tr>
      <w:tr w:rsidR="004E5773" w:rsidRPr="0004487A" w:rsidTr="00DC6AE6">
        <w:trPr>
          <w:trHeight w:val="494"/>
        </w:trPr>
        <w:tc>
          <w:tcPr>
            <w:tcW w:w="1705" w:type="dxa"/>
            <w:vAlign w:val="center"/>
          </w:tcPr>
          <w:p w:rsidR="004E5773" w:rsidRPr="0004487A" w:rsidRDefault="004E5773" w:rsidP="00724820">
            <w:pPr>
              <w:pStyle w:val="Body"/>
              <w:spacing w:before="0"/>
              <w:ind w:firstLine="0"/>
              <w:jc w:val="center"/>
              <w:rPr>
                <w:sz w:val="20"/>
              </w:rPr>
            </w:pPr>
            <w:r w:rsidRPr="0004487A">
              <w:rPr>
                <w:rFonts w:cs="Arial"/>
                <w:sz w:val="20"/>
              </w:rPr>
              <w:t>Dry</w:t>
            </w:r>
          </w:p>
        </w:tc>
        <w:tc>
          <w:tcPr>
            <w:tcW w:w="6750" w:type="dxa"/>
            <w:vMerge w:val="restart"/>
            <w:vAlign w:val="center"/>
          </w:tcPr>
          <w:p w:rsidR="004E5773" w:rsidRPr="00E44680" w:rsidRDefault="004E5773" w:rsidP="00DC6AE6">
            <w:pPr>
              <w:pStyle w:val="Body"/>
              <w:spacing w:before="0"/>
              <w:ind w:firstLine="0"/>
              <w:rPr>
                <w:rFonts w:cs="Arial"/>
                <w:color w:val="FF0000"/>
                <w:sz w:val="20"/>
                <w:u w:val="single"/>
              </w:rPr>
            </w:pPr>
            <w:r w:rsidRPr="0004487A">
              <w:rPr>
                <w:rFonts w:cs="Arial"/>
                <w:sz w:val="20"/>
              </w:rPr>
              <w:t>6d</w:t>
            </w:r>
            <w:r>
              <w:rPr>
                <w:rFonts w:cs="Arial"/>
                <w:sz w:val="20"/>
              </w:rPr>
              <w:t xml:space="preserve"> </w:t>
            </w:r>
            <w:r>
              <w:rPr>
                <w:color w:val="FF0000"/>
                <w:sz w:val="20"/>
                <w:u w:val="single"/>
              </w:rPr>
              <w:t xml:space="preserve">hot-dipped </w:t>
            </w:r>
            <w:r w:rsidRPr="00CF376C">
              <w:rPr>
                <w:color w:val="FF0000"/>
                <w:sz w:val="20"/>
                <w:u w:val="single"/>
              </w:rPr>
              <w:t>galvanized casing</w:t>
            </w:r>
            <w:r>
              <w:rPr>
                <w:color w:val="FF0000"/>
                <w:sz w:val="20"/>
                <w:u w:val="single"/>
              </w:rPr>
              <w:t xml:space="preserve"> nail </w:t>
            </w:r>
            <w:r>
              <w:rPr>
                <w:rFonts w:cs="Arial"/>
                <w:color w:val="FF0000"/>
                <w:sz w:val="20"/>
                <w:u w:val="single"/>
              </w:rPr>
              <w:t xml:space="preserve">(2 x 0.099 x 0.142 </w:t>
            </w:r>
            <w:r w:rsidRPr="00CF376C">
              <w:rPr>
                <w:rFonts w:cs="Arial"/>
                <w:color w:val="FF0000"/>
                <w:sz w:val="20"/>
                <w:u w:val="single"/>
              </w:rPr>
              <w:t xml:space="preserve">in. </w:t>
            </w:r>
            <w:r>
              <w:rPr>
                <w:rFonts w:cs="Arial"/>
                <w:color w:val="FF0000"/>
                <w:sz w:val="20"/>
                <w:u w:val="single"/>
              </w:rPr>
              <w:t xml:space="preserve">head diameter) (50.8 x 2.51 x 3.61 </w:t>
            </w:r>
            <w:r w:rsidRPr="00CF376C">
              <w:rPr>
                <w:rFonts w:cs="Arial"/>
                <w:color w:val="FF0000"/>
                <w:sz w:val="20"/>
                <w:u w:val="single"/>
              </w:rPr>
              <w:t>mm</w:t>
            </w:r>
            <w:r>
              <w:rPr>
                <w:rFonts w:cs="Arial"/>
                <w:color w:val="FF0000"/>
                <w:sz w:val="20"/>
                <w:u w:val="single"/>
              </w:rPr>
              <w:t xml:space="preserve"> head diameter)</w:t>
            </w:r>
            <w:r w:rsidRPr="00CF376C">
              <w:rPr>
                <w:rFonts w:cs="Arial"/>
                <w:color w:val="FF0000"/>
                <w:sz w:val="20"/>
                <w:u w:val="single"/>
              </w:rPr>
              <w:t xml:space="preserve"> or</w:t>
            </w:r>
            <w:r>
              <w:rPr>
                <w:rFonts w:cs="Arial"/>
                <w:color w:val="FF0000"/>
                <w:sz w:val="20"/>
                <w:u w:val="single"/>
              </w:rPr>
              <w:t xml:space="preserve"> </w:t>
            </w:r>
            <w:r>
              <w:rPr>
                <w:color w:val="FF0000"/>
                <w:sz w:val="20"/>
                <w:u w:val="single"/>
              </w:rPr>
              <w:t xml:space="preserve">6d hot-dipped </w:t>
            </w:r>
            <w:r w:rsidRPr="00CF376C">
              <w:rPr>
                <w:color w:val="FF0000"/>
                <w:sz w:val="20"/>
                <w:u w:val="single"/>
              </w:rPr>
              <w:t>galvanized siding nail</w:t>
            </w:r>
            <w:r>
              <w:rPr>
                <w:color w:val="FF0000"/>
                <w:sz w:val="20"/>
                <w:u w:val="single"/>
              </w:rPr>
              <w:t xml:space="preserve"> (</w:t>
            </w:r>
            <w:r>
              <w:rPr>
                <w:rFonts w:cs="Arial"/>
                <w:color w:val="FF0000"/>
                <w:sz w:val="20"/>
                <w:u w:val="single"/>
              </w:rPr>
              <w:t>1-7/8 x 0.106 x 0.141 in. head diameter) (47.6 x 2.69 x 3.58 mm head diameter)</w:t>
            </w:r>
          </w:p>
        </w:tc>
        <w:tc>
          <w:tcPr>
            <w:tcW w:w="1800" w:type="dxa"/>
            <w:vAlign w:val="center"/>
          </w:tcPr>
          <w:p w:rsidR="004E5773" w:rsidRPr="0004487A" w:rsidRDefault="004E5773" w:rsidP="00724820">
            <w:pPr>
              <w:pStyle w:val="Body"/>
              <w:spacing w:before="0"/>
              <w:jc w:val="center"/>
              <w:rPr>
                <w:sz w:val="20"/>
              </w:rPr>
            </w:pPr>
            <w:r w:rsidRPr="0004487A">
              <w:rPr>
                <w:sz w:val="20"/>
              </w:rPr>
              <w:t>55 lbf (0.245 kN)</w:t>
            </w:r>
          </w:p>
        </w:tc>
      </w:tr>
      <w:tr w:rsidR="004E5773" w:rsidRPr="0004487A" w:rsidTr="00DC6AE6">
        <w:trPr>
          <w:trHeight w:val="530"/>
        </w:trPr>
        <w:tc>
          <w:tcPr>
            <w:tcW w:w="1705" w:type="dxa"/>
            <w:vAlign w:val="center"/>
          </w:tcPr>
          <w:p w:rsidR="004E5773" w:rsidRPr="0004487A" w:rsidRDefault="004E5773" w:rsidP="00724820">
            <w:pPr>
              <w:pStyle w:val="Body"/>
              <w:spacing w:before="0"/>
              <w:ind w:firstLine="0"/>
              <w:jc w:val="center"/>
              <w:rPr>
                <w:sz w:val="20"/>
              </w:rPr>
            </w:pPr>
            <w:r w:rsidRPr="0004487A">
              <w:rPr>
                <w:rFonts w:cs="Arial"/>
                <w:sz w:val="20"/>
              </w:rPr>
              <w:t>Wet</w:t>
            </w:r>
          </w:p>
        </w:tc>
        <w:tc>
          <w:tcPr>
            <w:tcW w:w="6750" w:type="dxa"/>
            <w:vMerge/>
          </w:tcPr>
          <w:p w:rsidR="004E5773" w:rsidRPr="0004487A" w:rsidRDefault="004E5773" w:rsidP="00724820">
            <w:pPr>
              <w:pStyle w:val="Body"/>
              <w:spacing w:before="0"/>
              <w:jc w:val="center"/>
              <w:rPr>
                <w:sz w:val="20"/>
              </w:rPr>
            </w:pPr>
          </w:p>
        </w:tc>
        <w:tc>
          <w:tcPr>
            <w:tcW w:w="1800" w:type="dxa"/>
            <w:vAlign w:val="center"/>
          </w:tcPr>
          <w:p w:rsidR="004E5773" w:rsidRPr="0004487A" w:rsidRDefault="004E5773" w:rsidP="00724820">
            <w:pPr>
              <w:pStyle w:val="Body"/>
              <w:spacing w:before="0"/>
              <w:jc w:val="center"/>
              <w:rPr>
                <w:sz w:val="20"/>
              </w:rPr>
            </w:pPr>
            <w:r w:rsidRPr="0004487A">
              <w:rPr>
                <w:sz w:val="20"/>
              </w:rPr>
              <w:t>40 lbf (0.178 kN)</w:t>
            </w:r>
          </w:p>
        </w:tc>
      </w:tr>
    </w:tbl>
    <w:p w:rsidR="004E5773" w:rsidRPr="00CF376C" w:rsidRDefault="004E5773" w:rsidP="004E5773">
      <w:pPr>
        <w:pStyle w:val="Body"/>
        <w:numPr>
          <w:ilvl w:val="0"/>
          <w:numId w:val="6"/>
        </w:numPr>
        <w:tabs>
          <w:tab w:val="clear" w:pos="900"/>
        </w:tabs>
        <w:spacing w:before="0"/>
        <w:ind w:left="270" w:right="144" w:hanging="270"/>
        <w:rPr>
          <w:rFonts w:cs="Arial"/>
          <w:strike/>
          <w:color w:val="0000FF"/>
          <w:sz w:val="18"/>
        </w:rPr>
      </w:pPr>
      <w:r w:rsidRPr="00CF376C">
        <w:rPr>
          <w:rFonts w:cs="Arial"/>
          <w:strike/>
          <w:color w:val="0000FF"/>
          <w:sz w:val="18"/>
        </w:rPr>
        <w:t>Hot-dipped galvanized casing nail or siding nail.</w:t>
      </w:r>
      <w:r>
        <w:rPr>
          <w:rFonts w:cs="Arial"/>
          <w:strike/>
          <w:color w:val="0000FF"/>
          <w:sz w:val="18"/>
        </w:rPr>
        <w:t xml:space="preserve"> </w:t>
      </w:r>
      <w:r w:rsidRPr="00DF3787">
        <w:rPr>
          <w:rFonts w:cs="Arial"/>
          <w:color w:val="FF0000"/>
          <w:sz w:val="18"/>
          <w:u w:val="single"/>
        </w:rPr>
        <w:t xml:space="preserve">Dimensions are </w:t>
      </w:r>
      <w:r>
        <w:rPr>
          <w:rFonts w:cs="Arial"/>
          <w:color w:val="FF0000"/>
          <w:sz w:val="18"/>
          <w:u w:val="single"/>
        </w:rPr>
        <w:t>nominal uncoated nail size.</w:t>
      </w:r>
    </w:p>
    <w:p w:rsidR="004E5773" w:rsidRDefault="004E5773" w:rsidP="004E5773"/>
    <w:p w:rsidR="004E5773" w:rsidRDefault="004E5773">
      <w:pPr>
        <w:rPr>
          <w:rFonts w:cs="Arial"/>
        </w:rPr>
      </w:pPr>
      <w:r>
        <w:rPr>
          <w:rFonts w:cs="Arial"/>
        </w:rPr>
        <w:br w:type="page"/>
      </w:r>
    </w:p>
    <w:p w:rsidR="004E5773" w:rsidRPr="00216587" w:rsidRDefault="004E5773" w:rsidP="004E5773">
      <w:pPr>
        <w:ind w:left="900" w:hanging="900"/>
        <w:rPr>
          <w:rFonts w:cs="Arial"/>
        </w:rPr>
      </w:pPr>
      <w:r>
        <w:rPr>
          <w:rFonts w:cs="Arial"/>
        </w:rPr>
        <w:lastRenderedPageBreak/>
        <w:t xml:space="preserve">Table 6.  </w:t>
      </w:r>
      <w:r w:rsidRPr="00216587">
        <w:rPr>
          <w:rFonts w:cs="Arial"/>
        </w:rPr>
        <w:t>Racking Load Performance Criteria</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252"/>
        <w:gridCol w:w="1443"/>
        <w:gridCol w:w="1080"/>
        <w:gridCol w:w="1350"/>
        <w:gridCol w:w="1167"/>
        <w:gridCol w:w="1350"/>
        <w:gridCol w:w="1353"/>
        <w:gridCol w:w="1261"/>
      </w:tblGrid>
      <w:tr w:rsidR="004E5773" w:rsidRPr="00216587" w:rsidTr="00724820">
        <w:trPr>
          <w:jc w:val="center"/>
        </w:trPr>
        <w:tc>
          <w:tcPr>
            <w:tcW w:w="1252" w:type="dxa"/>
            <w:vMerge w:val="restart"/>
            <w:tcBorders>
              <w:right w:val="single" w:sz="4" w:space="0" w:color="auto"/>
            </w:tcBorders>
            <w:vAlign w:val="center"/>
          </w:tcPr>
          <w:p w:rsidR="004E5773" w:rsidRPr="00216587" w:rsidRDefault="004E5773" w:rsidP="00724820">
            <w:pPr>
              <w:jc w:val="center"/>
              <w:rPr>
                <w:rFonts w:cs="Arial"/>
              </w:rPr>
            </w:pPr>
            <w:r w:rsidRPr="00216587">
              <w:rPr>
                <w:rFonts w:cs="Arial"/>
              </w:rPr>
              <w:t>Thickness</w:t>
            </w:r>
          </w:p>
        </w:tc>
        <w:tc>
          <w:tcPr>
            <w:tcW w:w="1443" w:type="dxa"/>
            <w:vMerge w:val="restart"/>
            <w:tcBorders>
              <w:left w:val="single" w:sz="4" w:space="0" w:color="auto"/>
              <w:right w:val="single" w:sz="4" w:space="0" w:color="auto"/>
            </w:tcBorders>
            <w:vAlign w:val="center"/>
          </w:tcPr>
          <w:p w:rsidR="004E5773" w:rsidRPr="00216587" w:rsidRDefault="004E5773" w:rsidP="00724820">
            <w:pPr>
              <w:jc w:val="center"/>
              <w:rPr>
                <w:rFonts w:cs="Arial"/>
              </w:rPr>
            </w:pPr>
            <w:r>
              <w:rPr>
                <w:rFonts w:cs="Arial"/>
              </w:rPr>
              <w:t>Nail Size</w:t>
            </w:r>
            <w:r>
              <w:rPr>
                <w:rFonts w:cs="Arial"/>
                <w:color w:val="FF0000"/>
                <w:u w:val="single"/>
                <w:vertAlign w:val="superscript"/>
              </w:rPr>
              <w:t>(c</w:t>
            </w:r>
            <w:r w:rsidRPr="003068D2">
              <w:rPr>
                <w:rFonts w:cs="Arial"/>
                <w:color w:val="FF0000"/>
                <w:u w:val="single"/>
                <w:vertAlign w:val="superscript"/>
              </w:rPr>
              <w:t>)</w:t>
            </w:r>
          </w:p>
        </w:tc>
        <w:tc>
          <w:tcPr>
            <w:tcW w:w="2430" w:type="dxa"/>
            <w:gridSpan w:val="2"/>
            <w:tcBorders>
              <w:left w:val="single" w:sz="4" w:space="0" w:color="auto"/>
              <w:right w:val="single" w:sz="4" w:space="0" w:color="auto"/>
            </w:tcBorders>
          </w:tcPr>
          <w:p w:rsidR="004E5773" w:rsidRPr="00216587" w:rsidRDefault="004E5773" w:rsidP="00724820">
            <w:pPr>
              <w:jc w:val="center"/>
              <w:rPr>
                <w:rFonts w:cs="Arial"/>
              </w:rPr>
            </w:pPr>
            <w:r w:rsidRPr="00216587">
              <w:rPr>
                <w:rFonts w:cs="Arial"/>
              </w:rPr>
              <w:t>Nail Spacing</w:t>
            </w:r>
          </w:p>
        </w:tc>
        <w:tc>
          <w:tcPr>
            <w:tcW w:w="1167" w:type="dxa"/>
            <w:vMerge w:val="restart"/>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Test Exposure Conditions</w:t>
            </w:r>
          </w:p>
        </w:tc>
        <w:tc>
          <w:tcPr>
            <w:tcW w:w="3964" w:type="dxa"/>
            <w:gridSpan w:val="3"/>
            <w:tcBorders>
              <w:left w:val="single" w:sz="4" w:space="0" w:color="auto"/>
            </w:tcBorders>
          </w:tcPr>
          <w:p w:rsidR="004E5773" w:rsidRPr="00216587" w:rsidRDefault="004E5773" w:rsidP="00724820">
            <w:pPr>
              <w:jc w:val="center"/>
              <w:rPr>
                <w:rFonts w:cs="Arial"/>
                <w:vertAlign w:val="superscript"/>
              </w:rPr>
            </w:pPr>
            <w:r w:rsidRPr="00216587">
              <w:rPr>
                <w:rFonts w:cs="Arial"/>
              </w:rPr>
              <w:t>Performance Requirements</w:t>
            </w:r>
            <w:r w:rsidRPr="00216587">
              <w:rPr>
                <w:rFonts w:cs="Arial"/>
                <w:vertAlign w:val="superscript"/>
              </w:rPr>
              <w:t>(a)</w:t>
            </w:r>
          </w:p>
        </w:tc>
      </w:tr>
      <w:tr w:rsidR="004E5773" w:rsidRPr="00216587" w:rsidTr="00724820">
        <w:trPr>
          <w:jc w:val="center"/>
        </w:trPr>
        <w:tc>
          <w:tcPr>
            <w:tcW w:w="1252" w:type="dxa"/>
            <w:vMerge/>
            <w:tcBorders>
              <w:right w:val="single" w:sz="4" w:space="0" w:color="auto"/>
            </w:tcBorders>
            <w:vAlign w:val="center"/>
          </w:tcPr>
          <w:p w:rsidR="004E5773" w:rsidRPr="00216587" w:rsidRDefault="004E5773" w:rsidP="00724820">
            <w:pPr>
              <w:jc w:val="center"/>
              <w:rPr>
                <w:rFonts w:cs="Arial"/>
              </w:rPr>
            </w:pPr>
          </w:p>
        </w:tc>
        <w:tc>
          <w:tcPr>
            <w:tcW w:w="1443" w:type="dxa"/>
            <w:vMerge/>
            <w:tcBorders>
              <w:left w:val="single" w:sz="4" w:space="0" w:color="auto"/>
              <w:right w:val="single" w:sz="4" w:space="0" w:color="auto"/>
            </w:tcBorders>
            <w:vAlign w:val="bottom"/>
          </w:tcPr>
          <w:p w:rsidR="004E5773" w:rsidRPr="00216587" w:rsidRDefault="004E5773" w:rsidP="00724820">
            <w:pPr>
              <w:jc w:val="center"/>
              <w:rPr>
                <w:rFonts w:cs="Arial"/>
              </w:rPr>
            </w:pPr>
          </w:p>
        </w:tc>
        <w:tc>
          <w:tcPr>
            <w:tcW w:w="1080" w:type="dxa"/>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Panel Edge</w:t>
            </w:r>
          </w:p>
        </w:tc>
        <w:tc>
          <w:tcPr>
            <w:tcW w:w="1350" w:type="dxa"/>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Intermediate Studs</w:t>
            </w:r>
          </w:p>
        </w:tc>
        <w:tc>
          <w:tcPr>
            <w:tcW w:w="1167" w:type="dxa"/>
            <w:vMerge/>
            <w:tcBorders>
              <w:left w:val="single" w:sz="4" w:space="0" w:color="auto"/>
              <w:right w:val="single" w:sz="4" w:space="0" w:color="auto"/>
            </w:tcBorders>
            <w:vAlign w:val="bottom"/>
          </w:tcPr>
          <w:p w:rsidR="004E5773" w:rsidRPr="00216587" w:rsidRDefault="004E5773" w:rsidP="00724820">
            <w:pPr>
              <w:jc w:val="center"/>
              <w:rPr>
                <w:rFonts w:cs="Arial"/>
              </w:rPr>
            </w:pPr>
          </w:p>
        </w:tc>
        <w:tc>
          <w:tcPr>
            <w:tcW w:w="1350" w:type="dxa"/>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Design Load</w:t>
            </w:r>
          </w:p>
        </w:tc>
        <w:tc>
          <w:tcPr>
            <w:tcW w:w="1353" w:type="dxa"/>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Maximum Deflection at Design</w:t>
            </w:r>
          </w:p>
        </w:tc>
        <w:tc>
          <w:tcPr>
            <w:tcW w:w="1261" w:type="dxa"/>
            <w:tcBorders>
              <w:left w:val="single" w:sz="4" w:space="0" w:color="auto"/>
            </w:tcBorders>
            <w:vAlign w:val="center"/>
          </w:tcPr>
          <w:p w:rsidR="004E5773" w:rsidRPr="00216587" w:rsidRDefault="004E5773" w:rsidP="00724820">
            <w:pPr>
              <w:jc w:val="center"/>
              <w:rPr>
                <w:rFonts w:cs="Arial"/>
              </w:rPr>
            </w:pPr>
            <w:r w:rsidRPr="00216587">
              <w:rPr>
                <w:rFonts w:cs="Arial"/>
              </w:rPr>
              <w:t xml:space="preserve">Minimum Ultimate Load </w:t>
            </w:r>
          </w:p>
        </w:tc>
      </w:tr>
      <w:tr w:rsidR="004E5773" w:rsidRPr="00216587" w:rsidTr="00724820">
        <w:trPr>
          <w:trHeight w:val="219"/>
          <w:jc w:val="center"/>
        </w:trPr>
        <w:tc>
          <w:tcPr>
            <w:tcW w:w="1252" w:type="dxa"/>
            <w:vMerge w:val="restart"/>
            <w:tcBorders>
              <w:right w:val="single" w:sz="4" w:space="0" w:color="auto"/>
            </w:tcBorders>
            <w:vAlign w:val="center"/>
          </w:tcPr>
          <w:p w:rsidR="004E5773" w:rsidRPr="00216587" w:rsidRDefault="004E5773" w:rsidP="00724820">
            <w:pPr>
              <w:jc w:val="center"/>
              <w:rPr>
                <w:rFonts w:cs="Arial"/>
              </w:rPr>
            </w:pPr>
            <w:r w:rsidRPr="00216587">
              <w:rPr>
                <w:rFonts w:cs="Arial"/>
              </w:rPr>
              <w:t>At Point of Nailing</w:t>
            </w:r>
            <w:r w:rsidRPr="00216587">
              <w:rPr>
                <w:rFonts w:cs="Arial"/>
                <w:vertAlign w:val="superscript"/>
              </w:rPr>
              <w:t xml:space="preserve"> (b)</w:t>
            </w:r>
          </w:p>
        </w:tc>
        <w:tc>
          <w:tcPr>
            <w:tcW w:w="1443" w:type="dxa"/>
            <w:vMerge w:val="restart"/>
            <w:tcBorders>
              <w:left w:val="single" w:sz="4" w:space="0" w:color="auto"/>
              <w:right w:val="single" w:sz="4" w:space="0" w:color="auto"/>
            </w:tcBorders>
            <w:vAlign w:val="center"/>
          </w:tcPr>
          <w:p w:rsidR="004E5773" w:rsidRDefault="004E5773" w:rsidP="00724820">
            <w:pPr>
              <w:jc w:val="center"/>
              <w:rPr>
                <w:rFonts w:cs="Arial"/>
                <w:vertAlign w:val="superscript"/>
              </w:rPr>
            </w:pPr>
            <w:r w:rsidRPr="00216587">
              <w:rPr>
                <w:rFonts w:cs="Arial"/>
              </w:rPr>
              <w:t>6d</w:t>
            </w:r>
            <w:r>
              <w:rPr>
                <w:rFonts w:cs="Arial"/>
              </w:rPr>
              <w:t xml:space="preserve"> </w:t>
            </w:r>
            <w:r>
              <w:rPr>
                <w:rFonts w:cs="Arial"/>
                <w:color w:val="FF0000"/>
                <w:u w:val="single"/>
              </w:rPr>
              <w:t>ho</w:t>
            </w:r>
            <w:r w:rsidRPr="003770E2">
              <w:rPr>
                <w:rFonts w:cs="Arial"/>
                <w:color w:val="FF0000"/>
                <w:u w:val="single"/>
              </w:rPr>
              <w:t>t-dipped</w:t>
            </w:r>
            <w:r>
              <w:rPr>
                <w:rFonts w:cs="Arial"/>
              </w:rPr>
              <w:t xml:space="preserve"> </w:t>
            </w:r>
            <w:r w:rsidRPr="00216587">
              <w:rPr>
                <w:rFonts w:cs="Arial"/>
              </w:rPr>
              <w:t>galvanized box</w:t>
            </w:r>
            <w:r w:rsidRPr="00B4033E">
              <w:rPr>
                <w:rFonts w:cs="Arial"/>
                <w:color w:val="FF0000"/>
                <w:u w:val="single"/>
              </w:rPr>
              <w:t xml:space="preserve"> nail</w:t>
            </w:r>
          </w:p>
          <w:p w:rsidR="004E5773" w:rsidRPr="00CB1FFF" w:rsidRDefault="004E5773" w:rsidP="00724820">
            <w:pPr>
              <w:jc w:val="center"/>
              <w:rPr>
                <w:rFonts w:cs="Arial"/>
                <w:u w:val="single"/>
              </w:rPr>
            </w:pPr>
            <w:r w:rsidRPr="00CB1FFF">
              <w:rPr>
                <w:rFonts w:cs="Arial"/>
                <w:color w:val="FF0000"/>
                <w:u w:val="single"/>
              </w:rPr>
              <w:t>(2 x 0.099 in.</w:t>
            </w:r>
            <w:r>
              <w:rPr>
                <w:rFonts w:cs="Arial"/>
                <w:color w:val="FF0000"/>
                <w:u w:val="single"/>
              </w:rPr>
              <w:t>)</w:t>
            </w:r>
            <w:r w:rsidRPr="00CB1FFF">
              <w:rPr>
                <w:rFonts w:cs="Arial"/>
                <w:color w:val="FF0000"/>
                <w:u w:val="single"/>
              </w:rPr>
              <w:t xml:space="preserve"> </w:t>
            </w:r>
            <w:r>
              <w:rPr>
                <w:rFonts w:cs="Arial"/>
                <w:color w:val="FF0000"/>
                <w:u w:val="single"/>
              </w:rPr>
              <w:t>(</w:t>
            </w:r>
            <w:r w:rsidRPr="00CB1FFF">
              <w:rPr>
                <w:rFonts w:cs="Arial"/>
                <w:color w:val="FF0000"/>
                <w:u w:val="single"/>
              </w:rPr>
              <w:t>50.8 x 2.51 mm)</w:t>
            </w:r>
          </w:p>
        </w:tc>
        <w:tc>
          <w:tcPr>
            <w:tcW w:w="1080" w:type="dxa"/>
            <w:vMerge w:val="restart"/>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6 in. (152 mm)</w:t>
            </w:r>
          </w:p>
        </w:tc>
        <w:tc>
          <w:tcPr>
            <w:tcW w:w="1350" w:type="dxa"/>
            <w:vMerge w:val="restart"/>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12 in. (305 mm)</w:t>
            </w:r>
          </w:p>
        </w:tc>
        <w:tc>
          <w:tcPr>
            <w:tcW w:w="1167" w:type="dxa"/>
            <w:vMerge w:val="restart"/>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Dry</w:t>
            </w:r>
          </w:p>
        </w:tc>
        <w:tc>
          <w:tcPr>
            <w:tcW w:w="1350" w:type="dxa"/>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150 lbf/ft</w:t>
            </w:r>
          </w:p>
          <w:p w:rsidR="004E5773" w:rsidRPr="00216587" w:rsidRDefault="004E5773" w:rsidP="00724820">
            <w:pPr>
              <w:jc w:val="center"/>
              <w:rPr>
                <w:rFonts w:cs="Arial"/>
              </w:rPr>
            </w:pPr>
            <w:r w:rsidRPr="00216587">
              <w:rPr>
                <w:rFonts w:cs="Arial"/>
              </w:rPr>
              <w:t>(2.2 N/mm)</w:t>
            </w:r>
          </w:p>
        </w:tc>
        <w:tc>
          <w:tcPr>
            <w:tcW w:w="1353" w:type="dxa"/>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0.20 in</w:t>
            </w:r>
            <w:r w:rsidRPr="00DF3787">
              <w:rPr>
                <w:rFonts w:cs="Arial"/>
                <w:color w:val="FF0000"/>
                <w:u w:val="single"/>
              </w:rPr>
              <w:t>.</w:t>
            </w:r>
          </w:p>
          <w:p w:rsidR="004E5773" w:rsidRPr="00216587" w:rsidRDefault="004E5773" w:rsidP="00724820">
            <w:pPr>
              <w:jc w:val="center"/>
              <w:rPr>
                <w:rFonts w:cs="Arial"/>
              </w:rPr>
            </w:pPr>
            <w:r w:rsidRPr="00216587">
              <w:rPr>
                <w:rFonts w:cs="Arial"/>
              </w:rPr>
              <w:t>(5.1 mm)</w:t>
            </w:r>
          </w:p>
        </w:tc>
        <w:tc>
          <w:tcPr>
            <w:tcW w:w="1261" w:type="dxa"/>
            <w:vMerge w:val="restart"/>
            <w:tcBorders>
              <w:left w:val="single" w:sz="4" w:space="0" w:color="auto"/>
            </w:tcBorders>
            <w:vAlign w:val="center"/>
          </w:tcPr>
          <w:p w:rsidR="004E5773" w:rsidRPr="00216587" w:rsidRDefault="004E5773" w:rsidP="00724820">
            <w:pPr>
              <w:jc w:val="center"/>
              <w:rPr>
                <w:rFonts w:cs="Arial"/>
              </w:rPr>
            </w:pPr>
            <w:r w:rsidRPr="00216587">
              <w:rPr>
                <w:rFonts w:cs="Arial"/>
              </w:rPr>
              <w:t>650 lbf/ft</w:t>
            </w:r>
          </w:p>
          <w:p w:rsidR="004E5773" w:rsidRPr="00216587" w:rsidRDefault="004E5773" w:rsidP="00724820">
            <w:pPr>
              <w:jc w:val="center"/>
              <w:rPr>
                <w:rFonts w:cs="Arial"/>
              </w:rPr>
            </w:pPr>
            <w:r w:rsidRPr="00216587">
              <w:rPr>
                <w:rFonts w:cs="Arial"/>
              </w:rPr>
              <w:t>(9.5 N/mm)</w:t>
            </w:r>
          </w:p>
        </w:tc>
      </w:tr>
      <w:tr w:rsidR="004E5773" w:rsidRPr="00216587" w:rsidTr="00724820">
        <w:trPr>
          <w:jc w:val="center"/>
        </w:trPr>
        <w:tc>
          <w:tcPr>
            <w:tcW w:w="1252" w:type="dxa"/>
            <w:vMerge/>
            <w:tcBorders>
              <w:right w:val="single" w:sz="4" w:space="0" w:color="auto"/>
            </w:tcBorders>
          </w:tcPr>
          <w:p w:rsidR="004E5773" w:rsidRPr="00216587" w:rsidRDefault="004E5773" w:rsidP="00724820">
            <w:pPr>
              <w:jc w:val="center"/>
              <w:rPr>
                <w:rFonts w:cs="Arial"/>
              </w:rPr>
            </w:pPr>
          </w:p>
        </w:tc>
        <w:tc>
          <w:tcPr>
            <w:tcW w:w="1443" w:type="dxa"/>
            <w:vMerge/>
            <w:tcBorders>
              <w:left w:val="single" w:sz="4" w:space="0" w:color="auto"/>
              <w:right w:val="single" w:sz="4" w:space="0" w:color="auto"/>
            </w:tcBorders>
          </w:tcPr>
          <w:p w:rsidR="004E5773" w:rsidRPr="00216587" w:rsidRDefault="004E5773" w:rsidP="00724820">
            <w:pPr>
              <w:jc w:val="center"/>
              <w:rPr>
                <w:rFonts w:cs="Arial"/>
              </w:rPr>
            </w:pPr>
          </w:p>
        </w:tc>
        <w:tc>
          <w:tcPr>
            <w:tcW w:w="1080" w:type="dxa"/>
            <w:vMerge/>
            <w:tcBorders>
              <w:left w:val="single" w:sz="4" w:space="0" w:color="auto"/>
              <w:right w:val="single" w:sz="4" w:space="0" w:color="auto"/>
            </w:tcBorders>
          </w:tcPr>
          <w:p w:rsidR="004E5773" w:rsidRPr="00216587" w:rsidRDefault="004E5773" w:rsidP="00724820">
            <w:pPr>
              <w:jc w:val="center"/>
              <w:rPr>
                <w:rFonts w:cs="Arial"/>
              </w:rPr>
            </w:pPr>
          </w:p>
        </w:tc>
        <w:tc>
          <w:tcPr>
            <w:tcW w:w="1350" w:type="dxa"/>
            <w:vMerge/>
            <w:tcBorders>
              <w:left w:val="single" w:sz="4" w:space="0" w:color="auto"/>
              <w:right w:val="single" w:sz="4" w:space="0" w:color="auto"/>
            </w:tcBorders>
          </w:tcPr>
          <w:p w:rsidR="004E5773" w:rsidRPr="00216587" w:rsidRDefault="004E5773" w:rsidP="00724820">
            <w:pPr>
              <w:jc w:val="center"/>
              <w:rPr>
                <w:rFonts w:cs="Arial"/>
              </w:rPr>
            </w:pPr>
          </w:p>
        </w:tc>
        <w:tc>
          <w:tcPr>
            <w:tcW w:w="1167" w:type="dxa"/>
            <w:vMerge/>
            <w:tcBorders>
              <w:left w:val="single" w:sz="4" w:space="0" w:color="auto"/>
              <w:right w:val="single" w:sz="4" w:space="0" w:color="auto"/>
            </w:tcBorders>
          </w:tcPr>
          <w:p w:rsidR="004E5773" w:rsidRPr="00216587" w:rsidRDefault="004E5773" w:rsidP="00724820">
            <w:pPr>
              <w:jc w:val="center"/>
              <w:rPr>
                <w:rFonts w:cs="Arial"/>
              </w:rPr>
            </w:pPr>
          </w:p>
        </w:tc>
        <w:tc>
          <w:tcPr>
            <w:tcW w:w="1350" w:type="dxa"/>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300 lbf/ft</w:t>
            </w:r>
          </w:p>
          <w:p w:rsidR="004E5773" w:rsidRPr="00216587" w:rsidRDefault="004E5773" w:rsidP="00724820">
            <w:pPr>
              <w:jc w:val="center"/>
              <w:rPr>
                <w:rFonts w:cs="Arial"/>
              </w:rPr>
            </w:pPr>
            <w:r w:rsidRPr="00216587">
              <w:rPr>
                <w:rFonts w:cs="Arial"/>
              </w:rPr>
              <w:t>(4.4 N/mm)</w:t>
            </w:r>
          </w:p>
        </w:tc>
        <w:tc>
          <w:tcPr>
            <w:tcW w:w="1353" w:type="dxa"/>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0.60 in.</w:t>
            </w:r>
          </w:p>
          <w:p w:rsidR="004E5773" w:rsidRPr="00216587" w:rsidRDefault="004E5773" w:rsidP="00724820">
            <w:pPr>
              <w:jc w:val="center"/>
              <w:rPr>
                <w:rFonts w:cs="Arial"/>
              </w:rPr>
            </w:pPr>
            <w:r w:rsidRPr="00216587">
              <w:rPr>
                <w:rFonts w:cs="Arial"/>
              </w:rPr>
              <w:t>(15.2 mm)</w:t>
            </w:r>
          </w:p>
        </w:tc>
        <w:tc>
          <w:tcPr>
            <w:tcW w:w="1261" w:type="dxa"/>
            <w:vMerge/>
            <w:tcBorders>
              <w:left w:val="single" w:sz="4" w:space="0" w:color="auto"/>
            </w:tcBorders>
            <w:vAlign w:val="center"/>
          </w:tcPr>
          <w:p w:rsidR="004E5773" w:rsidRPr="00216587" w:rsidRDefault="004E5773" w:rsidP="00724820">
            <w:pPr>
              <w:rPr>
                <w:rFonts w:cs="Arial"/>
              </w:rPr>
            </w:pPr>
          </w:p>
        </w:tc>
      </w:tr>
      <w:tr w:rsidR="004E5773" w:rsidRPr="00216587" w:rsidTr="00724820">
        <w:trPr>
          <w:jc w:val="center"/>
        </w:trPr>
        <w:tc>
          <w:tcPr>
            <w:tcW w:w="1252" w:type="dxa"/>
            <w:vMerge/>
            <w:tcBorders>
              <w:right w:val="single" w:sz="4" w:space="0" w:color="auto"/>
            </w:tcBorders>
          </w:tcPr>
          <w:p w:rsidR="004E5773" w:rsidRPr="00216587" w:rsidRDefault="004E5773" w:rsidP="00724820">
            <w:pPr>
              <w:jc w:val="center"/>
              <w:rPr>
                <w:rFonts w:cs="Arial"/>
              </w:rPr>
            </w:pPr>
          </w:p>
        </w:tc>
        <w:tc>
          <w:tcPr>
            <w:tcW w:w="1443" w:type="dxa"/>
            <w:vMerge/>
            <w:tcBorders>
              <w:left w:val="single" w:sz="4" w:space="0" w:color="auto"/>
              <w:right w:val="single" w:sz="4" w:space="0" w:color="auto"/>
            </w:tcBorders>
          </w:tcPr>
          <w:p w:rsidR="004E5773" w:rsidRPr="00216587" w:rsidRDefault="004E5773" w:rsidP="00724820">
            <w:pPr>
              <w:jc w:val="center"/>
              <w:rPr>
                <w:rFonts w:cs="Arial"/>
              </w:rPr>
            </w:pPr>
          </w:p>
        </w:tc>
        <w:tc>
          <w:tcPr>
            <w:tcW w:w="1080" w:type="dxa"/>
            <w:vMerge/>
            <w:tcBorders>
              <w:left w:val="single" w:sz="4" w:space="0" w:color="auto"/>
              <w:right w:val="single" w:sz="4" w:space="0" w:color="auto"/>
            </w:tcBorders>
          </w:tcPr>
          <w:p w:rsidR="004E5773" w:rsidRPr="00216587" w:rsidRDefault="004E5773" w:rsidP="00724820">
            <w:pPr>
              <w:jc w:val="center"/>
              <w:rPr>
                <w:rFonts w:cs="Arial"/>
              </w:rPr>
            </w:pPr>
          </w:p>
        </w:tc>
        <w:tc>
          <w:tcPr>
            <w:tcW w:w="1350" w:type="dxa"/>
            <w:vMerge/>
            <w:tcBorders>
              <w:left w:val="single" w:sz="4" w:space="0" w:color="auto"/>
              <w:right w:val="single" w:sz="4" w:space="0" w:color="auto"/>
            </w:tcBorders>
          </w:tcPr>
          <w:p w:rsidR="004E5773" w:rsidRPr="00216587" w:rsidRDefault="004E5773" w:rsidP="00724820">
            <w:pPr>
              <w:jc w:val="center"/>
              <w:rPr>
                <w:rFonts w:cs="Arial"/>
              </w:rPr>
            </w:pPr>
          </w:p>
        </w:tc>
        <w:tc>
          <w:tcPr>
            <w:tcW w:w="1167" w:type="dxa"/>
            <w:vMerge w:val="restart"/>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Wet</w:t>
            </w:r>
            <w:r w:rsidRPr="00216587">
              <w:rPr>
                <w:rFonts w:cs="Arial"/>
                <w:vertAlign w:val="superscript"/>
              </w:rPr>
              <w:t>(</w:t>
            </w:r>
            <w:r w:rsidRPr="00DF3787">
              <w:rPr>
                <w:rFonts w:cs="Arial"/>
                <w:strike/>
                <w:color w:val="0000FF"/>
                <w:vertAlign w:val="superscript"/>
              </w:rPr>
              <w:t>c</w:t>
            </w:r>
            <w:r w:rsidRPr="00DF3787">
              <w:rPr>
                <w:rFonts w:cs="Arial"/>
                <w:color w:val="FF0000"/>
                <w:u w:val="single"/>
                <w:vertAlign w:val="superscript"/>
              </w:rPr>
              <w:t>d</w:t>
            </w:r>
            <w:r w:rsidRPr="00216587">
              <w:rPr>
                <w:rFonts w:cs="Arial"/>
                <w:vertAlign w:val="superscript"/>
              </w:rPr>
              <w:t>)</w:t>
            </w:r>
          </w:p>
        </w:tc>
        <w:tc>
          <w:tcPr>
            <w:tcW w:w="1350" w:type="dxa"/>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150 lbf/ft</w:t>
            </w:r>
          </w:p>
          <w:p w:rsidR="004E5773" w:rsidRPr="00216587" w:rsidRDefault="004E5773" w:rsidP="00724820">
            <w:pPr>
              <w:jc w:val="center"/>
              <w:rPr>
                <w:rFonts w:cs="Arial"/>
              </w:rPr>
            </w:pPr>
            <w:r w:rsidRPr="00216587">
              <w:rPr>
                <w:rFonts w:cs="Arial"/>
              </w:rPr>
              <w:t>(2.2 N/mm)</w:t>
            </w:r>
          </w:p>
        </w:tc>
        <w:tc>
          <w:tcPr>
            <w:tcW w:w="1353" w:type="dxa"/>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0.28 in.</w:t>
            </w:r>
          </w:p>
          <w:p w:rsidR="004E5773" w:rsidRPr="00216587" w:rsidRDefault="004E5773" w:rsidP="00724820">
            <w:pPr>
              <w:jc w:val="center"/>
              <w:rPr>
                <w:rFonts w:cs="Arial"/>
              </w:rPr>
            </w:pPr>
            <w:r w:rsidRPr="00216587">
              <w:rPr>
                <w:rFonts w:cs="Arial"/>
              </w:rPr>
              <w:t>(7.1 mm)</w:t>
            </w:r>
          </w:p>
        </w:tc>
        <w:tc>
          <w:tcPr>
            <w:tcW w:w="1261" w:type="dxa"/>
            <w:vMerge w:val="restart"/>
            <w:tcBorders>
              <w:left w:val="single" w:sz="4" w:space="0" w:color="auto"/>
            </w:tcBorders>
            <w:vAlign w:val="center"/>
          </w:tcPr>
          <w:p w:rsidR="004E5773" w:rsidRPr="00216587" w:rsidRDefault="004E5773" w:rsidP="00724820">
            <w:pPr>
              <w:jc w:val="center"/>
              <w:rPr>
                <w:rFonts w:cs="Arial"/>
              </w:rPr>
            </w:pPr>
            <w:r w:rsidRPr="00216587">
              <w:rPr>
                <w:rFonts w:cs="Arial"/>
              </w:rPr>
              <w:t>500 lbf/ft</w:t>
            </w:r>
          </w:p>
          <w:p w:rsidR="004E5773" w:rsidRPr="00216587" w:rsidRDefault="004E5773" w:rsidP="00724820">
            <w:pPr>
              <w:jc w:val="center"/>
              <w:rPr>
                <w:rFonts w:cs="Arial"/>
              </w:rPr>
            </w:pPr>
            <w:r w:rsidRPr="00216587">
              <w:rPr>
                <w:rFonts w:cs="Arial"/>
              </w:rPr>
              <w:t>(7.3 N/mm)</w:t>
            </w:r>
          </w:p>
        </w:tc>
      </w:tr>
      <w:tr w:rsidR="004E5773" w:rsidRPr="00216587" w:rsidTr="00724820">
        <w:trPr>
          <w:jc w:val="center"/>
        </w:trPr>
        <w:tc>
          <w:tcPr>
            <w:tcW w:w="1252" w:type="dxa"/>
            <w:vMerge/>
            <w:tcBorders>
              <w:right w:val="single" w:sz="4" w:space="0" w:color="auto"/>
            </w:tcBorders>
          </w:tcPr>
          <w:p w:rsidR="004E5773" w:rsidRPr="00216587" w:rsidRDefault="004E5773" w:rsidP="00724820">
            <w:pPr>
              <w:jc w:val="center"/>
              <w:rPr>
                <w:rFonts w:cs="Arial"/>
              </w:rPr>
            </w:pPr>
          </w:p>
        </w:tc>
        <w:tc>
          <w:tcPr>
            <w:tcW w:w="1443" w:type="dxa"/>
            <w:vMerge/>
            <w:tcBorders>
              <w:left w:val="single" w:sz="4" w:space="0" w:color="auto"/>
              <w:right w:val="single" w:sz="4" w:space="0" w:color="auto"/>
            </w:tcBorders>
          </w:tcPr>
          <w:p w:rsidR="004E5773" w:rsidRPr="00216587" w:rsidRDefault="004E5773" w:rsidP="00724820">
            <w:pPr>
              <w:jc w:val="center"/>
              <w:rPr>
                <w:rFonts w:cs="Arial"/>
              </w:rPr>
            </w:pPr>
          </w:p>
        </w:tc>
        <w:tc>
          <w:tcPr>
            <w:tcW w:w="1080" w:type="dxa"/>
            <w:vMerge/>
            <w:tcBorders>
              <w:left w:val="single" w:sz="4" w:space="0" w:color="auto"/>
              <w:right w:val="single" w:sz="4" w:space="0" w:color="auto"/>
            </w:tcBorders>
          </w:tcPr>
          <w:p w:rsidR="004E5773" w:rsidRPr="00216587" w:rsidRDefault="004E5773" w:rsidP="00724820">
            <w:pPr>
              <w:jc w:val="center"/>
              <w:rPr>
                <w:rFonts w:cs="Arial"/>
              </w:rPr>
            </w:pPr>
          </w:p>
        </w:tc>
        <w:tc>
          <w:tcPr>
            <w:tcW w:w="1350" w:type="dxa"/>
            <w:vMerge/>
            <w:tcBorders>
              <w:left w:val="single" w:sz="4" w:space="0" w:color="auto"/>
              <w:right w:val="single" w:sz="4" w:space="0" w:color="auto"/>
            </w:tcBorders>
          </w:tcPr>
          <w:p w:rsidR="004E5773" w:rsidRPr="00216587" w:rsidRDefault="004E5773" w:rsidP="00724820">
            <w:pPr>
              <w:jc w:val="center"/>
              <w:rPr>
                <w:rFonts w:cs="Arial"/>
              </w:rPr>
            </w:pPr>
          </w:p>
        </w:tc>
        <w:tc>
          <w:tcPr>
            <w:tcW w:w="1167" w:type="dxa"/>
            <w:vMerge/>
            <w:tcBorders>
              <w:left w:val="single" w:sz="4" w:space="0" w:color="auto"/>
              <w:right w:val="single" w:sz="4" w:space="0" w:color="auto"/>
            </w:tcBorders>
          </w:tcPr>
          <w:p w:rsidR="004E5773" w:rsidRPr="00216587" w:rsidRDefault="004E5773" w:rsidP="00724820">
            <w:pPr>
              <w:jc w:val="center"/>
              <w:rPr>
                <w:rFonts w:cs="Arial"/>
              </w:rPr>
            </w:pPr>
          </w:p>
        </w:tc>
        <w:tc>
          <w:tcPr>
            <w:tcW w:w="1350" w:type="dxa"/>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300 lbf/ft</w:t>
            </w:r>
          </w:p>
          <w:p w:rsidR="004E5773" w:rsidRPr="00216587" w:rsidRDefault="004E5773" w:rsidP="00724820">
            <w:pPr>
              <w:jc w:val="center"/>
              <w:rPr>
                <w:rFonts w:cs="Arial"/>
              </w:rPr>
            </w:pPr>
            <w:r w:rsidRPr="00216587">
              <w:rPr>
                <w:rFonts w:cs="Arial"/>
              </w:rPr>
              <w:t>(4.4 N/mm)</w:t>
            </w:r>
          </w:p>
        </w:tc>
        <w:tc>
          <w:tcPr>
            <w:tcW w:w="1353" w:type="dxa"/>
            <w:tcBorders>
              <w:left w:val="single" w:sz="4" w:space="0" w:color="auto"/>
              <w:right w:val="single" w:sz="4" w:space="0" w:color="auto"/>
            </w:tcBorders>
            <w:vAlign w:val="center"/>
          </w:tcPr>
          <w:p w:rsidR="004E5773" w:rsidRPr="00216587" w:rsidRDefault="004E5773" w:rsidP="00724820">
            <w:pPr>
              <w:jc w:val="center"/>
              <w:rPr>
                <w:rFonts w:cs="Arial"/>
              </w:rPr>
            </w:pPr>
            <w:r w:rsidRPr="00216587">
              <w:rPr>
                <w:rFonts w:cs="Arial"/>
              </w:rPr>
              <w:t>0.80 in.</w:t>
            </w:r>
          </w:p>
          <w:p w:rsidR="004E5773" w:rsidRPr="00216587" w:rsidRDefault="004E5773" w:rsidP="00724820">
            <w:pPr>
              <w:jc w:val="center"/>
              <w:rPr>
                <w:rFonts w:cs="Arial"/>
              </w:rPr>
            </w:pPr>
            <w:r w:rsidRPr="00216587">
              <w:rPr>
                <w:rFonts w:cs="Arial"/>
              </w:rPr>
              <w:t>(20.3 mm)</w:t>
            </w:r>
          </w:p>
        </w:tc>
        <w:tc>
          <w:tcPr>
            <w:tcW w:w="1261" w:type="dxa"/>
            <w:vMerge/>
            <w:tcBorders>
              <w:left w:val="single" w:sz="4" w:space="0" w:color="auto"/>
            </w:tcBorders>
            <w:vAlign w:val="center"/>
          </w:tcPr>
          <w:p w:rsidR="004E5773" w:rsidRPr="00216587" w:rsidRDefault="004E5773" w:rsidP="00724820">
            <w:pPr>
              <w:jc w:val="center"/>
              <w:rPr>
                <w:rFonts w:cs="Arial"/>
              </w:rPr>
            </w:pPr>
          </w:p>
        </w:tc>
      </w:tr>
    </w:tbl>
    <w:p w:rsidR="004E5773" w:rsidRPr="00CF376C" w:rsidRDefault="004E5773" w:rsidP="004E5773">
      <w:pPr>
        <w:ind w:left="270" w:hanging="270"/>
        <w:rPr>
          <w:rFonts w:cs="Arial"/>
          <w:sz w:val="18"/>
        </w:rPr>
      </w:pPr>
      <w:r w:rsidRPr="00CF376C">
        <w:rPr>
          <w:rFonts w:cs="Arial"/>
          <w:sz w:val="18"/>
          <w:vertAlign w:val="superscript"/>
        </w:rPr>
        <w:t>(a)</w:t>
      </w:r>
      <w:r w:rsidRPr="00CF376C">
        <w:rPr>
          <w:rFonts w:cs="Arial"/>
          <w:sz w:val="18"/>
        </w:rPr>
        <w:tab/>
        <w:t>Stud spacing at 16 in. (406 mm) o.c. or 24 in. (610 mm) o.c., depending on the maximum Span Rating.</w:t>
      </w:r>
    </w:p>
    <w:p w:rsidR="004E5773" w:rsidRPr="00CF376C" w:rsidRDefault="004E5773" w:rsidP="004E5773">
      <w:pPr>
        <w:ind w:left="270" w:hanging="270"/>
        <w:rPr>
          <w:rFonts w:cs="Arial"/>
          <w:sz w:val="18"/>
        </w:rPr>
      </w:pPr>
      <w:r w:rsidRPr="00CF376C">
        <w:rPr>
          <w:rFonts w:cs="Arial"/>
          <w:sz w:val="18"/>
          <w:vertAlign w:val="superscript"/>
        </w:rPr>
        <w:t>(b)</w:t>
      </w:r>
      <w:r w:rsidRPr="00CF376C">
        <w:rPr>
          <w:rFonts w:cs="Arial"/>
          <w:sz w:val="18"/>
        </w:rPr>
        <w:tab/>
        <w:t>Thickness at point of nailing shall be measured at base of grooves (if grooved) unless otherwise recommended by the manufacturer.</w:t>
      </w:r>
    </w:p>
    <w:p w:rsidR="004E5773" w:rsidRPr="00DF3787" w:rsidRDefault="004E5773" w:rsidP="004E5773">
      <w:pPr>
        <w:ind w:left="274" w:hanging="274"/>
        <w:rPr>
          <w:rFonts w:cs="Arial"/>
          <w:color w:val="FF0000"/>
          <w:sz w:val="18"/>
          <w:u w:val="single"/>
        </w:rPr>
      </w:pPr>
      <w:r w:rsidRPr="00DF3787">
        <w:rPr>
          <w:rFonts w:cs="Arial"/>
          <w:color w:val="FF0000"/>
          <w:sz w:val="18"/>
          <w:u w:val="single"/>
          <w:vertAlign w:val="superscript"/>
        </w:rPr>
        <w:t>(</w:t>
      </w:r>
      <w:r>
        <w:rPr>
          <w:rFonts w:cs="Arial"/>
          <w:color w:val="FF0000"/>
          <w:sz w:val="18"/>
          <w:u w:val="single"/>
          <w:vertAlign w:val="superscript"/>
        </w:rPr>
        <w:t>c</w:t>
      </w:r>
      <w:r w:rsidRPr="00DF3787">
        <w:rPr>
          <w:rFonts w:cs="Arial"/>
          <w:color w:val="FF0000"/>
          <w:sz w:val="18"/>
          <w:u w:val="single"/>
          <w:vertAlign w:val="superscript"/>
        </w:rPr>
        <w:t>)</w:t>
      </w:r>
      <w:r w:rsidRPr="00DF3787">
        <w:rPr>
          <w:rFonts w:cs="Arial"/>
          <w:color w:val="FF0000"/>
          <w:sz w:val="18"/>
          <w:u w:val="single"/>
        </w:rPr>
        <w:tab/>
        <w:t xml:space="preserve">Dimensions are </w:t>
      </w:r>
      <w:r>
        <w:rPr>
          <w:rFonts w:cs="Arial"/>
          <w:color w:val="FF0000"/>
          <w:sz w:val="18"/>
          <w:u w:val="single"/>
        </w:rPr>
        <w:t>nominal uncoated nail size</w:t>
      </w:r>
      <w:r w:rsidRPr="00DF3787">
        <w:rPr>
          <w:rFonts w:cs="Arial"/>
          <w:color w:val="FF0000"/>
          <w:sz w:val="18"/>
          <w:u w:val="single"/>
        </w:rPr>
        <w:t>.</w:t>
      </w:r>
    </w:p>
    <w:p w:rsidR="004E5773" w:rsidRDefault="004E5773" w:rsidP="004E5773">
      <w:pPr>
        <w:ind w:left="274" w:hanging="274"/>
        <w:rPr>
          <w:rFonts w:cs="Arial"/>
          <w:sz w:val="18"/>
        </w:rPr>
      </w:pPr>
      <w:r w:rsidRPr="00CF376C">
        <w:rPr>
          <w:rFonts w:cs="Arial"/>
          <w:sz w:val="18"/>
          <w:vertAlign w:val="superscript"/>
        </w:rPr>
        <w:t>(</w:t>
      </w:r>
      <w:r w:rsidRPr="00DF3787">
        <w:rPr>
          <w:rFonts w:cs="Arial"/>
          <w:strike/>
          <w:color w:val="0000FF"/>
          <w:vertAlign w:val="superscript"/>
        </w:rPr>
        <w:t>c</w:t>
      </w:r>
      <w:r w:rsidRPr="00DF3787">
        <w:rPr>
          <w:rFonts w:cs="Arial"/>
          <w:color w:val="FF0000"/>
          <w:u w:val="single"/>
          <w:vertAlign w:val="superscript"/>
        </w:rPr>
        <w:t>d</w:t>
      </w:r>
      <w:r w:rsidRPr="00CF376C">
        <w:rPr>
          <w:rFonts w:cs="Arial"/>
          <w:sz w:val="18"/>
          <w:vertAlign w:val="superscript"/>
        </w:rPr>
        <w:t>)</w:t>
      </w:r>
      <w:r w:rsidRPr="00CF376C">
        <w:rPr>
          <w:rFonts w:cs="Arial"/>
          <w:sz w:val="18"/>
        </w:rPr>
        <w:tab/>
        <w:t>Wet exposure shall follow the recommended procedures outlined in ASTM E72.</w:t>
      </w:r>
    </w:p>
    <w:p w:rsidR="004E5773" w:rsidRDefault="004E5773" w:rsidP="004E5773"/>
    <w:p w:rsidR="004E5773" w:rsidRPr="004D4516" w:rsidRDefault="004E5773" w:rsidP="004E5773">
      <w:pPr>
        <w:keepNext/>
      </w:pPr>
      <w:r w:rsidRPr="004D4516">
        <w:t>6. STRUCT URAL PERFORMANCE QUALIFICATION</w:t>
      </w:r>
    </w:p>
    <w:p w:rsidR="004E5773" w:rsidRPr="004D4516" w:rsidRDefault="004E5773" w:rsidP="004E5773">
      <w:pPr>
        <w:keepNext/>
        <w:rPr>
          <w:rFonts w:ascii="Berkeley-Book" w:hAnsi="Berkeley-Book" w:cs="Berkeley-Book"/>
          <w:color w:val="000000"/>
        </w:rPr>
      </w:pPr>
      <w:r w:rsidRPr="004D4516">
        <w:rPr>
          <w:rFonts w:ascii="Berkeley-Book" w:hAnsi="Berkeley-Book" w:cs="Berkeley-Book"/>
          <w:color w:val="000000"/>
        </w:rPr>
        <w:t>Performance shall be</w:t>
      </w:r>
      <w:r>
        <w:rPr>
          <w:rFonts w:ascii="Berkeley-Book" w:hAnsi="Berkeley-Book" w:cs="Berkeley-Book"/>
          <w:color w:val="000000"/>
        </w:rPr>
        <w:t>…</w:t>
      </w:r>
      <w:r w:rsidRPr="004D4516">
        <w:rPr>
          <w:rFonts w:ascii="Berkeley-Book" w:hAnsi="Berkeley-Book" w:cs="Berkeley-Book"/>
          <w:color w:val="000000"/>
        </w:rPr>
        <w:t>.</w:t>
      </w:r>
      <w:r>
        <w:rPr>
          <w:rFonts w:ascii="Berkeley-Book" w:hAnsi="Berkeley-Book" w:cs="Berkeley-Book"/>
          <w:color w:val="000000"/>
        </w:rPr>
        <w:t xml:space="preserve"> (No change.)</w:t>
      </w:r>
    </w:p>
    <w:p w:rsidR="004E5773" w:rsidRPr="004D4516" w:rsidRDefault="004E5773" w:rsidP="004E5773">
      <w:pPr>
        <w:keepNext/>
        <w:rPr>
          <w:rFonts w:cs="Arial"/>
        </w:rPr>
      </w:pPr>
      <w:r w:rsidRPr="00B4084C">
        <w:rPr>
          <w:rFonts w:cs="Arial"/>
          <w:bCs/>
          <w:i/>
          <w:iCs/>
          <w:color w:val="000000"/>
        </w:rPr>
        <w:t xml:space="preserve">3) </w:t>
      </w:r>
      <w:r w:rsidRPr="00B4084C">
        <w:rPr>
          <w:rFonts w:cs="Arial"/>
          <w:color w:val="000000"/>
        </w:rPr>
        <w:t xml:space="preserve">Specimens shall be tested at the maximum intended Span Rating for the product (typically 16 </w:t>
      </w:r>
      <w:r w:rsidRPr="00B4084C">
        <w:rPr>
          <w:rFonts w:cs="Arial"/>
          <w:color w:val="FF0000"/>
          <w:u w:val="single"/>
        </w:rPr>
        <w:t xml:space="preserve">in. (406 mm) </w:t>
      </w:r>
      <w:r w:rsidRPr="00B4084C">
        <w:rPr>
          <w:rFonts w:cs="Arial"/>
          <w:color w:val="000000"/>
        </w:rPr>
        <w:t>or 24</w:t>
      </w:r>
      <w:r w:rsidRPr="004D4516">
        <w:rPr>
          <w:rFonts w:cs="Arial"/>
          <w:color w:val="000000"/>
        </w:rPr>
        <w:t xml:space="preserve"> </w:t>
      </w:r>
      <w:r w:rsidRPr="00FD3207">
        <w:rPr>
          <w:rFonts w:cs="Arial"/>
          <w:color w:val="FF0000"/>
          <w:u w:val="single"/>
        </w:rPr>
        <w:t xml:space="preserve">in. </w:t>
      </w:r>
      <w:r w:rsidRPr="00FD3207">
        <w:rPr>
          <w:rFonts w:cs="Arial"/>
          <w:strike/>
          <w:color w:val="0000FF"/>
        </w:rPr>
        <w:t>oc</w:t>
      </w:r>
      <w:r>
        <w:rPr>
          <w:rFonts w:cs="Arial"/>
          <w:color w:val="FF0000"/>
          <w:u w:val="single"/>
        </w:rPr>
        <w:t xml:space="preserve"> (</w:t>
      </w:r>
      <w:r w:rsidRPr="004D4516">
        <w:rPr>
          <w:rFonts w:cs="Arial"/>
          <w:color w:val="FF0000"/>
          <w:u w:val="single"/>
        </w:rPr>
        <w:t>610 mm</w:t>
      </w:r>
      <w:r>
        <w:rPr>
          <w:rFonts w:cs="Arial"/>
          <w:color w:val="FF0000"/>
          <w:u w:val="single"/>
        </w:rPr>
        <w:t>)</w:t>
      </w:r>
      <w:r w:rsidRPr="00FD3207">
        <w:rPr>
          <w:rFonts w:cs="Arial"/>
          <w:color w:val="FF0000"/>
          <w:u w:val="single"/>
        </w:rPr>
        <w:t xml:space="preserve"> o.c.</w:t>
      </w:r>
      <w:r w:rsidRPr="004D4516">
        <w:rPr>
          <w:rFonts w:cs="Arial"/>
          <w:color w:val="000000"/>
        </w:rPr>
        <w:t>).</w:t>
      </w:r>
    </w:p>
    <w:p w:rsidR="004E5773" w:rsidRDefault="004E5773" w:rsidP="004E5773"/>
    <w:p w:rsidR="004E5773" w:rsidRPr="00B4084C" w:rsidRDefault="004E5773" w:rsidP="004E5773">
      <w:pPr>
        <w:autoSpaceDE w:val="0"/>
        <w:autoSpaceDN w:val="0"/>
        <w:adjustRightInd w:val="0"/>
        <w:rPr>
          <w:rFonts w:cs="Arial"/>
          <w:iCs/>
        </w:rPr>
      </w:pPr>
      <w:r w:rsidRPr="00B4084C">
        <w:rPr>
          <w:rFonts w:cs="Arial"/>
          <w:iCs/>
        </w:rPr>
        <w:t>10.2.3. Siding Panel Marking</w:t>
      </w:r>
    </w:p>
    <w:p w:rsidR="004E5773" w:rsidRPr="00B4084C" w:rsidRDefault="004E5773" w:rsidP="004E5773">
      <w:pPr>
        <w:autoSpaceDE w:val="0"/>
        <w:autoSpaceDN w:val="0"/>
        <w:adjustRightInd w:val="0"/>
        <w:rPr>
          <w:rFonts w:cs="Arial"/>
        </w:rPr>
      </w:pPr>
      <w:r w:rsidRPr="00B4084C">
        <w:rPr>
          <w:rFonts w:cs="Arial"/>
        </w:rPr>
        <w:t>All siding represented as conforming to this standard shall be identified with marks giving the following information:</w:t>
      </w:r>
    </w:p>
    <w:p w:rsidR="004E5773" w:rsidRPr="00B4084C" w:rsidRDefault="004E5773" w:rsidP="004E5773">
      <w:pPr>
        <w:autoSpaceDE w:val="0"/>
        <w:autoSpaceDN w:val="0"/>
        <w:adjustRightInd w:val="0"/>
        <w:rPr>
          <w:rFonts w:cs="Arial"/>
        </w:rPr>
      </w:pPr>
      <w:r w:rsidRPr="00B4084C">
        <w:rPr>
          <w:rFonts w:cs="Arial"/>
          <w:bCs/>
          <w:iCs/>
        </w:rPr>
        <w:t xml:space="preserve">a) </w:t>
      </w:r>
      <w:r>
        <w:rPr>
          <w:rFonts w:cs="Arial"/>
          <w:bCs/>
          <w:iCs/>
        </w:rPr>
        <w:t>…</w:t>
      </w:r>
      <w:r>
        <w:rPr>
          <w:rFonts w:cs="Arial"/>
          <w:iCs/>
        </w:rPr>
        <w:t xml:space="preserve"> (No change)</w:t>
      </w:r>
    </w:p>
    <w:p w:rsidR="004E5773" w:rsidRPr="00B4084C" w:rsidRDefault="004E5773" w:rsidP="004E5773">
      <w:pPr>
        <w:autoSpaceDE w:val="0"/>
        <w:autoSpaceDN w:val="0"/>
        <w:adjustRightInd w:val="0"/>
        <w:rPr>
          <w:rFonts w:cs="Arial"/>
        </w:rPr>
      </w:pPr>
      <w:r w:rsidRPr="00B4084C">
        <w:rPr>
          <w:rFonts w:cs="Arial"/>
          <w:bCs/>
          <w:iCs/>
        </w:rPr>
        <w:t xml:space="preserve">b) </w:t>
      </w:r>
      <w:r>
        <w:rPr>
          <w:rFonts w:cs="Arial"/>
          <w:iCs/>
        </w:rPr>
        <w:t>… (No change)</w:t>
      </w:r>
    </w:p>
    <w:p w:rsidR="004E5773" w:rsidRPr="00B4084C" w:rsidRDefault="004E5773" w:rsidP="004E5773">
      <w:pPr>
        <w:autoSpaceDE w:val="0"/>
        <w:autoSpaceDN w:val="0"/>
        <w:adjustRightInd w:val="0"/>
        <w:rPr>
          <w:rFonts w:cs="Arial"/>
        </w:rPr>
      </w:pPr>
      <w:r w:rsidRPr="00B4084C">
        <w:rPr>
          <w:rFonts w:cs="Arial"/>
          <w:bCs/>
          <w:iCs/>
        </w:rPr>
        <w:t xml:space="preserve">c) </w:t>
      </w:r>
      <w:r w:rsidRPr="00B4084C">
        <w:rPr>
          <w:rFonts w:cs="Arial"/>
        </w:rPr>
        <w:t>The symbol “ANSI</w:t>
      </w:r>
      <w:r w:rsidRPr="00B4084C">
        <w:rPr>
          <w:rFonts w:cs="Arial"/>
          <w:strike/>
          <w:color w:val="FF0000"/>
        </w:rPr>
        <w:t>/APA</w:t>
      </w:r>
      <w:r w:rsidRPr="00B4084C">
        <w:rPr>
          <w:rFonts w:cs="Arial"/>
        </w:rPr>
        <w:t xml:space="preserve"> PRP 210” signifying conformance with this standard.</w:t>
      </w:r>
    </w:p>
    <w:p w:rsidR="004E5773" w:rsidRPr="00B4084C" w:rsidRDefault="004E5773" w:rsidP="004E5773">
      <w:pPr>
        <w:rPr>
          <w:rFonts w:cs="Arial"/>
        </w:rPr>
      </w:pPr>
      <w:r w:rsidRPr="00B4084C">
        <w:rPr>
          <w:rFonts w:cs="Arial"/>
          <w:bCs/>
          <w:iCs/>
        </w:rPr>
        <w:t xml:space="preserve">d) </w:t>
      </w:r>
      <w:r>
        <w:rPr>
          <w:rFonts w:cs="Arial"/>
        </w:rPr>
        <w:t>… (No change)</w:t>
      </w:r>
    </w:p>
    <w:p w:rsidR="004E5773" w:rsidRPr="00B4084C" w:rsidRDefault="004E5773" w:rsidP="004E5773">
      <w:pPr>
        <w:rPr>
          <w:rFonts w:cs="Arial"/>
        </w:rPr>
      </w:pPr>
    </w:p>
    <w:p w:rsidR="004E5773" w:rsidRPr="004D4516" w:rsidRDefault="004E5773" w:rsidP="004E5773">
      <w:pPr>
        <w:rPr>
          <w:rFonts w:cs="Arial"/>
        </w:rPr>
      </w:pPr>
      <w:r w:rsidRPr="004D4516">
        <w:rPr>
          <w:rFonts w:cs="Arial"/>
        </w:rPr>
        <w:t>11.1.2. Equipment</w:t>
      </w:r>
    </w:p>
    <w:p w:rsidR="004E5773" w:rsidRDefault="004E5773" w:rsidP="004E5773">
      <w:pPr>
        <w:rPr>
          <w:rFonts w:cs="Arial"/>
        </w:rPr>
      </w:pPr>
      <w:r>
        <w:rPr>
          <w:rFonts w:cs="Arial"/>
        </w:rPr>
        <w:t>…. (No change.)</w:t>
      </w:r>
    </w:p>
    <w:p w:rsidR="004E5773" w:rsidRPr="00B4084C" w:rsidRDefault="004E5773" w:rsidP="004E5773">
      <w:pPr>
        <w:autoSpaceDE w:val="0"/>
        <w:autoSpaceDN w:val="0"/>
        <w:adjustRightInd w:val="0"/>
        <w:rPr>
          <w:rFonts w:cs="Arial"/>
        </w:rPr>
      </w:pPr>
      <w:r w:rsidRPr="00B4084C">
        <w:rPr>
          <w:rFonts w:cs="Arial"/>
          <w:bCs/>
          <w:i/>
          <w:iCs/>
        </w:rPr>
        <w:t xml:space="preserve">Loading Rod. </w:t>
      </w:r>
      <w:r w:rsidRPr="00B4084C">
        <w:rPr>
          <w:rFonts w:cs="Arial"/>
        </w:rPr>
        <w:t xml:space="preserve">A loading rod one inch </w:t>
      </w:r>
      <w:r w:rsidRPr="00B4084C">
        <w:rPr>
          <w:rFonts w:cs="Arial"/>
          <w:color w:val="FF0000"/>
          <w:u w:val="single"/>
        </w:rPr>
        <w:t>(25.4 mm)</w:t>
      </w:r>
      <w:r w:rsidRPr="00B4084C">
        <w:rPr>
          <w:rFonts w:cs="Arial"/>
        </w:rPr>
        <w:t xml:space="preserve"> in diameter is required. The edge of the loading rod contacting the test specimen shall be rounded to a radius not to exceed 0.06 inch (1.52 mm).</w:t>
      </w:r>
    </w:p>
    <w:p w:rsidR="004E5773" w:rsidRPr="00B4084C" w:rsidRDefault="004E5773" w:rsidP="004E5773">
      <w:pPr>
        <w:autoSpaceDE w:val="0"/>
        <w:autoSpaceDN w:val="0"/>
        <w:adjustRightInd w:val="0"/>
        <w:rPr>
          <w:rFonts w:cs="Arial"/>
        </w:rPr>
      </w:pPr>
      <w:r w:rsidRPr="00B4084C">
        <w:rPr>
          <w:rFonts w:cs="Arial"/>
          <w:bCs/>
          <w:i/>
          <w:iCs/>
        </w:rPr>
        <w:t>Deflection Gages</w:t>
      </w:r>
      <w:r w:rsidRPr="00B4084C">
        <w:rPr>
          <w:rFonts w:cs="Arial"/>
          <w:bCs/>
          <w:iCs/>
        </w:rPr>
        <w:t xml:space="preserve">…. </w:t>
      </w:r>
      <w:r w:rsidRPr="00B4084C">
        <w:rPr>
          <w:rFonts w:cs="Arial"/>
        </w:rPr>
        <w:t>(No change.)</w:t>
      </w:r>
    </w:p>
    <w:p w:rsidR="004E5773" w:rsidRPr="004D4516" w:rsidRDefault="004E5773" w:rsidP="004E5773">
      <w:pPr>
        <w:rPr>
          <w:rFonts w:cs="Arial"/>
        </w:rPr>
      </w:pPr>
      <w:r w:rsidRPr="004D4516">
        <w:rPr>
          <w:rFonts w:cs="Arial"/>
        </w:rPr>
        <w:t xml:space="preserve">To measure indentation, a metal sleeve shall be fabricated to fit around the loading rod. </w:t>
      </w:r>
      <w:r>
        <w:rPr>
          <w:rFonts w:cs="Arial"/>
        </w:rPr>
        <w:t xml:space="preserve"> </w:t>
      </w:r>
      <w:r w:rsidRPr="004D4516">
        <w:rPr>
          <w:rFonts w:cs="Arial"/>
        </w:rPr>
        <w:t>The bottom of the sleeve</w:t>
      </w:r>
      <w:r>
        <w:rPr>
          <w:rFonts w:cs="Arial"/>
        </w:rPr>
        <w:t xml:space="preserve"> </w:t>
      </w:r>
      <w:r w:rsidRPr="004D4516">
        <w:rPr>
          <w:rFonts w:cs="Arial"/>
        </w:rPr>
        <w:t>shall be chamfered to create a 1/4-inch</w:t>
      </w:r>
      <w:r>
        <w:rPr>
          <w:rFonts w:cs="Arial"/>
        </w:rPr>
        <w:t xml:space="preserve"> </w:t>
      </w:r>
      <w:r>
        <w:rPr>
          <w:rFonts w:cs="Arial"/>
          <w:color w:val="FF0000"/>
          <w:u w:val="single"/>
        </w:rPr>
        <w:t xml:space="preserve">(6.35 </w:t>
      </w:r>
      <w:r w:rsidRPr="00525A73">
        <w:rPr>
          <w:rFonts w:cs="Arial"/>
          <w:color w:val="FF0000"/>
          <w:u w:val="single"/>
        </w:rPr>
        <w:t xml:space="preserve">mm) </w:t>
      </w:r>
      <w:r w:rsidRPr="004D4516">
        <w:rPr>
          <w:rFonts w:cs="Arial"/>
        </w:rPr>
        <w:t>wide bearing ring around the rod</w:t>
      </w:r>
      <w:r>
        <w:rPr>
          <w:rFonts w:cs="Arial"/>
        </w:rPr>
        <w:t>….</w:t>
      </w:r>
      <w:r w:rsidRPr="004D4516">
        <w:rPr>
          <w:rFonts w:cs="Arial"/>
        </w:rPr>
        <w:t xml:space="preserve"> </w:t>
      </w:r>
      <w:r>
        <w:rPr>
          <w:rFonts w:cs="Arial"/>
        </w:rPr>
        <w:t>(No changes to the rest of the section.)</w:t>
      </w:r>
    </w:p>
    <w:p w:rsidR="004E5773" w:rsidRDefault="004E5773" w:rsidP="004E5773"/>
    <w:p w:rsidR="004E5773" w:rsidRPr="005E0510" w:rsidRDefault="004E5773" w:rsidP="004E5773">
      <w:pPr>
        <w:rPr>
          <w:rFonts w:cs="Arial"/>
        </w:rPr>
      </w:pPr>
      <w:r w:rsidRPr="005E0510">
        <w:rPr>
          <w:rFonts w:cs="Arial"/>
        </w:rPr>
        <w:t>11.6.3. Test Procedure</w:t>
      </w:r>
    </w:p>
    <w:p w:rsidR="004E5773" w:rsidRDefault="004E5773" w:rsidP="004E5773">
      <w:pPr>
        <w:rPr>
          <w:rFonts w:cs="Arial"/>
        </w:rPr>
      </w:pPr>
      <w:r w:rsidRPr="005E0510">
        <w:rPr>
          <w:rFonts w:cs="Arial"/>
        </w:rPr>
        <w:t xml:space="preserve">Load shall be applied continuously at a uniform rate. </w:t>
      </w:r>
      <w:r>
        <w:rPr>
          <w:rFonts w:cs="Arial"/>
        </w:rPr>
        <w:t xml:space="preserve"> </w:t>
      </w:r>
      <w:r w:rsidRPr="005E0510">
        <w:rPr>
          <w:rFonts w:cs="Arial"/>
        </w:rPr>
        <w:t xml:space="preserve">The rate of loading shall be chosen such that the </w:t>
      </w:r>
      <w:r w:rsidRPr="005E0510">
        <w:rPr>
          <w:rFonts w:cs="Arial"/>
          <w:strike/>
          <w:color w:val="0000FF"/>
        </w:rPr>
        <w:t>1-times</w:t>
      </w:r>
      <w:r>
        <w:rPr>
          <w:rFonts w:cs="Arial"/>
          <w:strike/>
          <w:color w:val="0000FF"/>
        </w:rPr>
        <w:t xml:space="preserve"> </w:t>
      </w:r>
      <w:r w:rsidRPr="005E0510">
        <w:rPr>
          <w:rFonts w:cs="Arial"/>
          <w:color w:val="FF0000"/>
          <w:u w:val="single"/>
        </w:rPr>
        <w:t xml:space="preserve">100 percent </w:t>
      </w:r>
      <w:r w:rsidRPr="005E0510">
        <w:rPr>
          <w:rFonts w:cs="Arial"/>
        </w:rPr>
        <w:t xml:space="preserve">test load shall be reached in not less than 2 minutes. </w:t>
      </w:r>
      <w:r>
        <w:rPr>
          <w:rFonts w:cs="Arial"/>
        </w:rPr>
        <w:t xml:space="preserve"> </w:t>
      </w:r>
      <w:r w:rsidRPr="005E0510">
        <w:rPr>
          <w:rFonts w:cs="Arial"/>
        </w:rPr>
        <w:t>The loading rate for the subsequent loading cycles shall</w:t>
      </w:r>
      <w:r>
        <w:rPr>
          <w:rFonts w:cs="Arial"/>
        </w:rPr>
        <w:t xml:space="preserve"> </w:t>
      </w:r>
      <w:r w:rsidRPr="005E0510">
        <w:rPr>
          <w:rFonts w:cs="Arial"/>
        </w:rPr>
        <w:t xml:space="preserve">be the same as the </w:t>
      </w:r>
      <w:r w:rsidRPr="005E0510">
        <w:rPr>
          <w:rFonts w:cs="Arial"/>
          <w:strike/>
          <w:color w:val="0000FF"/>
        </w:rPr>
        <w:t>1-times</w:t>
      </w:r>
      <w:r>
        <w:rPr>
          <w:rFonts w:cs="Arial"/>
          <w:strike/>
          <w:color w:val="0000FF"/>
        </w:rPr>
        <w:t xml:space="preserve"> </w:t>
      </w:r>
      <w:r w:rsidRPr="005E0510">
        <w:rPr>
          <w:rFonts w:cs="Arial"/>
          <w:color w:val="FF0000"/>
          <w:u w:val="single"/>
        </w:rPr>
        <w:t>100 percent</w:t>
      </w:r>
      <w:r w:rsidRPr="005E0510">
        <w:rPr>
          <w:rFonts w:cs="Arial"/>
        </w:rPr>
        <w:t xml:space="preserve"> test load cycle.</w:t>
      </w:r>
    </w:p>
    <w:p w:rsidR="004E5773" w:rsidRPr="005E0510" w:rsidRDefault="004E5773" w:rsidP="004E5773">
      <w:pPr>
        <w:rPr>
          <w:rFonts w:cs="Arial"/>
        </w:rPr>
      </w:pPr>
    </w:p>
    <w:p w:rsidR="004E5773" w:rsidRPr="00C03B2B" w:rsidRDefault="004E5773" w:rsidP="004E5773">
      <w:pPr>
        <w:rPr>
          <w:rFonts w:cs="Arial"/>
        </w:rPr>
      </w:pPr>
      <w:r w:rsidRPr="005E0510">
        <w:rPr>
          <w:rFonts w:cs="Arial"/>
        </w:rPr>
        <w:t xml:space="preserve">Deflection measurements are recorded as the wall is being loaded. </w:t>
      </w:r>
      <w:r>
        <w:rPr>
          <w:rFonts w:cs="Arial"/>
        </w:rPr>
        <w:t xml:space="preserve"> </w:t>
      </w:r>
      <w:r w:rsidRPr="005E0510">
        <w:rPr>
          <w:rFonts w:cs="Arial"/>
        </w:rPr>
        <w:t>At least 10 sets of uniformly spaced deflection</w:t>
      </w:r>
      <w:r>
        <w:rPr>
          <w:rFonts w:cs="Arial"/>
        </w:rPr>
        <w:t xml:space="preserve"> </w:t>
      </w:r>
      <w:r w:rsidRPr="005E0510">
        <w:rPr>
          <w:rFonts w:cs="Arial"/>
        </w:rPr>
        <w:t xml:space="preserve">readings are taken prior to failure to establish the load-deformation curve. </w:t>
      </w:r>
      <w:r>
        <w:rPr>
          <w:rFonts w:cs="Arial"/>
        </w:rPr>
        <w:t xml:space="preserve"> </w:t>
      </w:r>
      <w:r w:rsidRPr="005E0510">
        <w:rPr>
          <w:rFonts w:cs="Arial"/>
        </w:rPr>
        <w:t xml:space="preserve">At </w:t>
      </w:r>
      <w:r w:rsidRPr="005E0510">
        <w:rPr>
          <w:rFonts w:cs="Arial"/>
          <w:strike/>
          <w:color w:val="0000FF"/>
        </w:rPr>
        <w:t>1-times</w:t>
      </w:r>
      <w:r>
        <w:rPr>
          <w:rFonts w:cs="Arial"/>
          <w:strike/>
          <w:color w:val="0000FF"/>
        </w:rPr>
        <w:t xml:space="preserve"> </w:t>
      </w:r>
      <w:r w:rsidRPr="005E0510">
        <w:rPr>
          <w:rFonts w:cs="Arial"/>
          <w:color w:val="FF0000"/>
          <w:u w:val="single"/>
        </w:rPr>
        <w:t>100 percent</w:t>
      </w:r>
      <w:r w:rsidRPr="005E0510">
        <w:rPr>
          <w:rFonts w:cs="Arial"/>
        </w:rPr>
        <w:t xml:space="preserve"> and </w:t>
      </w:r>
      <w:r>
        <w:rPr>
          <w:rFonts w:cs="Arial"/>
          <w:strike/>
          <w:color w:val="0000FF"/>
        </w:rPr>
        <w:t>2</w:t>
      </w:r>
      <w:r w:rsidRPr="005E0510">
        <w:rPr>
          <w:rFonts w:cs="Arial"/>
          <w:strike/>
          <w:color w:val="0000FF"/>
        </w:rPr>
        <w:t>-times</w:t>
      </w:r>
      <w:r>
        <w:rPr>
          <w:rFonts w:cs="Arial"/>
          <w:strike/>
          <w:color w:val="0000FF"/>
        </w:rPr>
        <w:t xml:space="preserve"> </w:t>
      </w:r>
      <w:r>
        <w:rPr>
          <w:rFonts w:cs="Arial"/>
          <w:color w:val="FF0000"/>
          <w:u w:val="single"/>
        </w:rPr>
        <w:t>2</w:t>
      </w:r>
      <w:r w:rsidRPr="005E0510">
        <w:rPr>
          <w:rFonts w:cs="Arial"/>
          <w:color w:val="FF0000"/>
          <w:u w:val="single"/>
        </w:rPr>
        <w:t>00 percent</w:t>
      </w:r>
      <w:r w:rsidRPr="005E0510">
        <w:rPr>
          <w:rFonts w:cs="Arial"/>
        </w:rPr>
        <w:t xml:space="preserve"> the test load,</w:t>
      </w:r>
      <w:r>
        <w:rPr>
          <w:rFonts w:cs="Arial"/>
        </w:rPr>
        <w:t xml:space="preserve"> </w:t>
      </w:r>
      <w:r w:rsidRPr="005E0510">
        <w:rPr>
          <w:rFonts w:cs="Arial"/>
        </w:rPr>
        <w:t>as specified in Table 6 of this standard, the load is removed and the wall is allowed to recover for 5 minutes.</w:t>
      </w:r>
      <w:r>
        <w:rPr>
          <w:rFonts w:cs="Arial"/>
        </w:rPr>
        <w:t xml:space="preserve">  </w:t>
      </w:r>
      <w:r w:rsidRPr="005E0510">
        <w:rPr>
          <w:rFonts w:cs="Arial"/>
        </w:rPr>
        <w:t xml:space="preserve">At </w:t>
      </w:r>
      <w:r>
        <w:rPr>
          <w:rFonts w:cs="Arial"/>
          <w:strike/>
          <w:color w:val="0000FF"/>
        </w:rPr>
        <w:t>2.5</w:t>
      </w:r>
      <w:r w:rsidRPr="005E0510">
        <w:rPr>
          <w:rFonts w:cs="Arial"/>
          <w:strike/>
          <w:color w:val="0000FF"/>
        </w:rPr>
        <w:t>-times</w:t>
      </w:r>
      <w:r>
        <w:rPr>
          <w:rFonts w:cs="Arial"/>
          <w:strike/>
          <w:color w:val="0000FF"/>
        </w:rPr>
        <w:t xml:space="preserve"> </w:t>
      </w:r>
      <w:r>
        <w:rPr>
          <w:rFonts w:cs="Arial"/>
          <w:color w:val="FF0000"/>
          <w:u w:val="single"/>
        </w:rPr>
        <w:t>25</w:t>
      </w:r>
      <w:r w:rsidRPr="005E0510">
        <w:rPr>
          <w:rFonts w:cs="Arial"/>
          <w:color w:val="FF0000"/>
          <w:u w:val="single"/>
        </w:rPr>
        <w:t>0 percent</w:t>
      </w:r>
      <w:r w:rsidRPr="005E0510">
        <w:rPr>
          <w:rFonts w:cs="Arial"/>
        </w:rPr>
        <w:t xml:space="preserve"> the test load, the dial gages are removed and the wall is loaded to failure</w:t>
      </w:r>
      <w:r>
        <w:rPr>
          <w:rFonts w:cs="Arial"/>
        </w:rPr>
        <w:t>…. (No change to the rest of the section.)</w:t>
      </w:r>
    </w:p>
    <w:p w:rsidR="004E5773" w:rsidRDefault="004E5773" w:rsidP="004E5773"/>
    <w:p w:rsidR="004E5773" w:rsidRPr="00C03B2B" w:rsidRDefault="004E5773" w:rsidP="004E5773">
      <w:pPr>
        <w:rPr>
          <w:rFonts w:cs="Arial"/>
        </w:rPr>
      </w:pPr>
      <w:r w:rsidRPr="00C03B2B">
        <w:rPr>
          <w:rFonts w:cs="Arial"/>
        </w:rPr>
        <w:t>11.8.4. Test Procedure</w:t>
      </w:r>
    </w:p>
    <w:p w:rsidR="004E5773" w:rsidRPr="00216587" w:rsidRDefault="004E5773" w:rsidP="004E5773">
      <w:pPr>
        <w:rPr>
          <w:rFonts w:cs="Arial"/>
          <w:color w:val="000000"/>
        </w:rPr>
      </w:pPr>
      <w:r w:rsidRPr="00216587">
        <w:rPr>
          <w:rFonts w:cs="Arial"/>
          <w:bCs/>
          <w:color w:val="000000"/>
        </w:rPr>
        <w:t>…. (No change.)</w:t>
      </w:r>
    </w:p>
    <w:p w:rsidR="004E5773" w:rsidRPr="00B4084C" w:rsidRDefault="004E5773" w:rsidP="004E5773">
      <w:pPr>
        <w:rPr>
          <w:rFonts w:cs="Arial"/>
          <w:color w:val="000000"/>
        </w:rPr>
      </w:pPr>
      <w:r w:rsidRPr="00B4084C">
        <w:rPr>
          <w:rFonts w:cs="Arial"/>
          <w:bCs/>
          <w:color w:val="000000"/>
        </w:rPr>
        <w:t xml:space="preserve">2. Nailing: </w:t>
      </w:r>
      <w:r w:rsidRPr="00B4084C">
        <w:rPr>
          <w:rFonts w:cs="Arial"/>
          <w:color w:val="000000"/>
        </w:rPr>
        <w:t xml:space="preserve">Drive nails of the size recommended by the manufacturer through the overlay. </w:t>
      </w:r>
      <w:r w:rsidRPr="00B4084C">
        <w:rPr>
          <w:rFonts w:cs="Arial"/>
          <w:strike/>
          <w:color w:val="0000FF"/>
        </w:rPr>
        <w:t>Back the specimens solidly</w:t>
      </w:r>
      <w:r w:rsidRPr="00B4084C">
        <w:rPr>
          <w:rFonts w:cs="Arial"/>
          <w:color w:val="000000"/>
        </w:rPr>
        <w:t xml:space="preserve"> </w:t>
      </w:r>
      <w:r w:rsidRPr="00B4084C">
        <w:rPr>
          <w:rFonts w:cs="Arial"/>
          <w:color w:val="FF0000"/>
          <w:u w:val="single"/>
        </w:rPr>
        <w:t>Support the specimen in the back continuously</w:t>
      </w:r>
      <w:r w:rsidRPr="00B4084C">
        <w:rPr>
          <w:rFonts w:cs="Arial"/>
          <w:color w:val="000000"/>
        </w:rPr>
        <w:t xml:space="preserve"> during nailing.</w:t>
      </w:r>
    </w:p>
    <w:p w:rsidR="004E5773" w:rsidRPr="00C03B2B" w:rsidRDefault="004E5773" w:rsidP="004E5773">
      <w:pPr>
        <w:rPr>
          <w:rFonts w:cs="Arial"/>
          <w:color w:val="000000"/>
        </w:rPr>
      </w:pPr>
      <w:r w:rsidRPr="00B4084C">
        <w:rPr>
          <w:rFonts w:cs="Arial"/>
          <w:bCs/>
          <w:color w:val="000000"/>
        </w:rPr>
        <w:t xml:space="preserve">3. Drilling: </w:t>
      </w:r>
      <w:r w:rsidRPr="00B4084C">
        <w:rPr>
          <w:rFonts w:cs="Arial"/>
          <w:color w:val="000000"/>
        </w:rPr>
        <w:t xml:space="preserve">Power drill with a 1/4-inch-diameter (6.4-mm-diameter) machine bit through the overlay.  </w:t>
      </w:r>
      <w:r w:rsidRPr="00B4084C">
        <w:rPr>
          <w:rFonts w:cs="Arial"/>
          <w:strike/>
          <w:color w:val="0000FF"/>
        </w:rPr>
        <w:t>Back the</w:t>
      </w:r>
      <w:r w:rsidRPr="00216587">
        <w:rPr>
          <w:rFonts w:cs="Arial"/>
          <w:strike/>
          <w:color w:val="0000FF"/>
        </w:rPr>
        <w:t xml:space="preserve"> specimens solidly</w:t>
      </w:r>
      <w:r w:rsidRPr="00C03B2B">
        <w:rPr>
          <w:rFonts w:cs="Arial"/>
          <w:color w:val="000000"/>
        </w:rPr>
        <w:t xml:space="preserve"> </w:t>
      </w:r>
      <w:r w:rsidRPr="00216587">
        <w:rPr>
          <w:rFonts w:cs="Arial"/>
          <w:color w:val="FF0000"/>
          <w:u w:val="single"/>
        </w:rPr>
        <w:t xml:space="preserve">Support the specimen in the back continuously </w:t>
      </w:r>
      <w:r w:rsidRPr="00C03B2B">
        <w:rPr>
          <w:rFonts w:cs="Arial"/>
          <w:color w:val="000000"/>
        </w:rPr>
        <w:t>during the drilling</w:t>
      </w:r>
      <w:r>
        <w:rPr>
          <w:rFonts w:cs="Arial"/>
          <w:color w:val="000000"/>
        </w:rPr>
        <w:t>…. (No change to the rest of the section.)</w:t>
      </w:r>
    </w:p>
    <w:p w:rsidR="004E5773" w:rsidRDefault="004E5773" w:rsidP="004E5773"/>
    <w:p w:rsidR="004E5773" w:rsidRPr="00C03B2B" w:rsidRDefault="004E5773" w:rsidP="00656A8D">
      <w:pPr>
        <w:keepNext/>
        <w:rPr>
          <w:rFonts w:cs="Arial"/>
        </w:rPr>
      </w:pPr>
      <w:r w:rsidRPr="00C03B2B">
        <w:rPr>
          <w:rFonts w:cs="Arial"/>
        </w:rPr>
        <w:lastRenderedPageBreak/>
        <w:t>11.11.2. Specimen Preparation</w:t>
      </w:r>
    </w:p>
    <w:p w:rsidR="004E5773" w:rsidRPr="00C03B2B" w:rsidRDefault="004E5773" w:rsidP="00656A8D">
      <w:pPr>
        <w:keepNext/>
        <w:rPr>
          <w:rFonts w:cs="Arial"/>
        </w:rPr>
      </w:pPr>
      <w:r>
        <w:rPr>
          <w:rFonts w:cs="Arial"/>
        </w:rPr>
        <w:t xml:space="preserve">…. (No change.)  </w:t>
      </w:r>
      <w:r w:rsidRPr="00C03B2B">
        <w:rPr>
          <w:rFonts w:cs="Arial"/>
        </w:rPr>
        <w:t>Fixed reference points which serve as measuring points on the centerline of each specimen are located 1 inch</w:t>
      </w:r>
      <w:r>
        <w:rPr>
          <w:rFonts w:cs="Arial"/>
        </w:rPr>
        <w:t xml:space="preserve"> </w:t>
      </w:r>
      <w:r w:rsidRPr="00C03B2B">
        <w:rPr>
          <w:rFonts w:cs="Arial"/>
          <w:color w:val="FF0000"/>
          <w:u w:val="single"/>
        </w:rPr>
        <w:t>(25.4 mm)</w:t>
      </w:r>
      <w:r>
        <w:rPr>
          <w:rFonts w:cs="Arial"/>
        </w:rPr>
        <w:t xml:space="preserve"> in from each end…. (No change to the rest of the section.)</w:t>
      </w:r>
    </w:p>
    <w:p w:rsidR="004E5773" w:rsidRDefault="004E5773" w:rsidP="004E5773"/>
    <w:p w:rsidR="004E5773" w:rsidRPr="00C03B2B" w:rsidRDefault="004E5773" w:rsidP="004E5773">
      <w:pPr>
        <w:rPr>
          <w:rFonts w:cs="Arial"/>
        </w:rPr>
      </w:pPr>
      <w:r w:rsidRPr="00C03B2B">
        <w:rPr>
          <w:rFonts w:cs="Arial"/>
        </w:rPr>
        <w:t>11.12.2. Specimen Preparation</w:t>
      </w:r>
    </w:p>
    <w:p w:rsidR="004E5773" w:rsidRPr="00C03B2B" w:rsidRDefault="004E5773" w:rsidP="004E5773">
      <w:pPr>
        <w:rPr>
          <w:rFonts w:cs="Arial"/>
        </w:rPr>
      </w:pPr>
      <w:r w:rsidRPr="00C03B2B">
        <w:rPr>
          <w:rFonts w:cs="Arial"/>
        </w:rPr>
        <w:t xml:space="preserve">From each siding panel, cut a specimen at least 2 inches </w:t>
      </w:r>
      <w:r w:rsidRPr="00C03B2B">
        <w:rPr>
          <w:rFonts w:cs="Arial"/>
          <w:color w:val="FF0000"/>
          <w:u w:val="single"/>
        </w:rPr>
        <w:t>(50.8 mm)</w:t>
      </w:r>
      <w:r>
        <w:rPr>
          <w:rFonts w:cs="Arial"/>
        </w:rPr>
        <w:t xml:space="preserve"> </w:t>
      </w:r>
      <w:r w:rsidRPr="00C03B2B">
        <w:rPr>
          <w:rFonts w:cs="Arial"/>
        </w:rPr>
        <w:t>from any e</w:t>
      </w:r>
      <w:r>
        <w:rPr>
          <w:rFonts w:cs="Arial"/>
        </w:rPr>
        <w:t xml:space="preserve">dge using a 3-inch (76-mm) hole </w:t>
      </w:r>
      <w:r w:rsidRPr="00C03B2B">
        <w:rPr>
          <w:rFonts w:cs="Arial"/>
        </w:rPr>
        <w:t>saw</w:t>
      </w:r>
      <w:r>
        <w:rPr>
          <w:rFonts w:cs="Arial"/>
        </w:rPr>
        <w:t>…. (No change to the rest of the section.)</w:t>
      </w:r>
    </w:p>
    <w:p w:rsidR="004E5773" w:rsidRDefault="004E5773" w:rsidP="004E5773">
      <w:pPr>
        <w:rPr>
          <w:rFonts w:cs="Arial"/>
        </w:rPr>
      </w:pPr>
    </w:p>
    <w:p w:rsidR="004E5773" w:rsidRDefault="004E5773" w:rsidP="004E5773">
      <w:pPr>
        <w:rPr>
          <w:rFonts w:cs="Arial"/>
          <w:color w:val="000000"/>
        </w:rPr>
      </w:pPr>
      <w:r w:rsidRPr="0004487A">
        <w:rPr>
          <w:rFonts w:cs="Arial"/>
          <w:iCs/>
        </w:rPr>
        <w:t xml:space="preserve">A2.2. </w:t>
      </w:r>
      <w:r>
        <w:rPr>
          <w:rFonts w:cs="Arial"/>
        </w:rPr>
        <w:t>…. (No change.)</w:t>
      </w:r>
      <w:r w:rsidRPr="0004487A">
        <w:rPr>
          <w:rFonts w:cs="Arial"/>
          <w:color w:val="000000"/>
        </w:rPr>
        <w:t xml:space="preserve"> </w:t>
      </w:r>
      <w:r>
        <w:rPr>
          <w:rFonts w:cs="Arial"/>
          <w:color w:val="000000"/>
        </w:rPr>
        <w:t xml:space="preserve"> </w:t>
      </w:r>
      <w:r w:rsidRPr="0004487A">
        <w:rPr>
          <w:rFonts w:cs="Arial"/>
          <w:color w:val="000000"/>
        </w:rPr>
        <w:t>Note that the hardboard face should meet the requirements of Class 1 of ANSI</w:t>
      </w:r>
      <w:r w:rsidRPr="0004487A">
        <w:rPr>
          <w:rFonts w:cs="Arial"/>
          <w:strike/>
          <w:color w:val="0000FF"/>
        </w:rPr>
        <w:t>/AHA</w:t>
      </w:r>
      <w:r w:rsidRPr="0004487A">
        <w:rPr>
          <w:rFonts w:cs="Arial"/>
          <w:color w:val="000000"/>
        </w:rPr>
        <w:t xml:space="preserve"> A135.4 in accordance with Section 5.2.</w:t>
      </w:r>
    </w:p>
    <w:p w:rsidR="004E5773" w:rsidRDefault="004E5773" w:rsidP="00416A1D">
      <w:pPr>
        <w:autoSpaceDE w:val="0"/>
        <w:autoSpaceDN w:val="0"/>
        <w:adjustRightInd w:val="0"/>
        <w:rPr>
          <w:rFonts w:cs="Arial"/>
        </w:rPr>
      </w:pPr>
    </w:p>
    <w:sectPr w:rsidR="004E5773" w:rsidSect="004E5773">
      <w:headerReference w:type="even" r:id="rId15"/>
      <w:headerReference w:type="default" r:id="rId16"/>
      <w:footerReference w:type="default" r:id="rId17"/>
      <w:headerReference w:type="first" r:id="rId18"/>
      <w:footerReference w:type="first" r:id="rId19"/>
      <w:footnotePr>
        <w:numFmt w:val="lowerRoman"/>
      </w:footnotePr>
      <w:endnotePr>
        <w:numFmt w:val="decimal"/>
      </w:endnotePr>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26" w:rsidRDefault="00647D26">
      <w:r>
        <w:separator/>
      </w:r>
    </w:p>
  </w:endnote>
  <w:endnote w:type="continuationSeparator" w:id="0">
    <w:p w:rsidR="00647D26" w:rsidRDefault="0064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Futura Bk B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owanOldSt BT">
    <w:altName w:val="Georgia"/>
    <w:charset w:val="00"/>
    <w:family w:val="roman"/>
    <w:pitch w:val="variable"/>
    <w:sig w:usb0="00000087" w:usb1="00000000" w:usb2="00000000" w:usb3="00000000" w:csb0="0000001B" w:csb1="00000000"/>
  </w:font>
  <w:font w:name="Berkeley-Book">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32" w:rsidRDefault="005C4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00" w:rsidRDefault="00753D00" w:rsidP="000A694F">
    <w:pPr>
      <w:pStyle w:val="Footer"/>
      <w:pBdr>
        <w:between w:val="single" w:sz="6" w:space="1" w:color="auto"/>
      </w:pBdr>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DB3592">
      <w:rPr>
        <w:noProof/>
        <w:sz w:val="18"/>
      </w:rPr>
      <w:t>1</w:t>
    </w:r>
    <w:r>
      <w:rPr>
        <w:sz w:val="18"/>
      </w:rPr>
      <w:fldChar w:fldCharType="end"/>
    </w:r>
    <w:r>
      <w:rPr>
        <w:sz w:val="18"/>
      </w:rPr>
      <w:t xml:space="preserve"> of </w:t>
    </w:r>
    <w:r w:rsidR="00EF27A2">
      <w:rPr>
        <w:noProof/>
        <w:sz w:val="18"/>
      </w:rPr>
      <w:fldChar w:fldCharType="begin"/>
    </w:r>
    <w:r w:rsidR="00EF27A2">
      <w:rPr>
        <w:noProof/>
        <w:sz w:val="18"/>
      </w:rPr>
      <w:instrText xml:space="preserve"> NUMPAGES  \* Arabic  \* MERGEFORMAT </w:instrText>
    </w:r>
    <w:r w:rsidR="00EF27A2">
      <w:rPr>
        <w:noProof/>
        <w:sz w:val="18"/>
      </w:rPr>
      <w:fldChar w:fldCharType="separate"/>
    </w:r>
    <w:r w:rsidR="00DB3592">
      <w:rPr>
        <w:noProof/>
        <w:sz w:val="18"/>
      </w:rPr>
      <w:t>4</w:t>
    </w:r>
    <w:r w:rsidR="00EF27A2">
      <w:rPr>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00" w:rsidRPr="005A6874" w:rsidRDefault="00753D00" w:rsidP="005A6874">
    <w:pPr>
      <w:pStyle w:val="Footer"/>
      <w:tabs>
        <w:tab w:val="clear" w:pos="8640"/>
      </w:tabs>
      <w:ind w:left="-540" w:right="-540"/>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sidR="00EF27A2">
      <w:rPr>
        <w:noProof/>
        <w:sz w:val="16"/>
        <w:szCs w:val="16"/>
      </w:rPr>
      <w:fldChar w:fldCharType="begin"/>
    </w:r>
    <w:r w:rsidR="00EF27A2">
      <w:rPr>
        <w:noProof/>
        <w:sz w:val="16"/>
        <w:szCs w:val="16"/>
      </w:rPr>
      <w:instrText xml:space="preserve"> NUMPAGES   \* MERGEFORMAT </w:instrText>
    </w:r>
    <w:r w:rsidR="00EF27A2">
      <w:rPr>
        <w:noProof/>
        <w:sz w:val="16"/>
        <w:szCs w:val="16"/>
      </w:rPr>
      <w:fldChar w:fldCharType="separate"/>
    </w:r>
    <w:r>
      <w:rPr>
        <w:noProof/>
        <w:sz w:val="16"/>
        <w:szCs w:val="16"/>
      </w:rPr>
      <w:t>2</w:t>
    </w:r>
    <w:r w:rsidR="00EF27A2">
      <w:rPr>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Default="001520CE" w:rsidP="000A694F">
    <w:pPr>
      <w:pStyle w:val="Footer"/>
      <w:pBdr>
        <w:between w:val="single" w:sz="6" w:space="1" w:color="auto"/>
      </w:pBdr>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933B41">
      <w:rPr>
        <w:noProof/>
        <w:sz w:val="18"/>
      </w:rPr>
      <w:t>4</w:t>
    </w:r>
    <w:r>
      <w:rPr>
        <w:sz w:val="18"/>
      </w:rPr>
      <w:fldChar w:fldCharType="end"/>
    </w:r>
    <w:r>
      <w:rPr>
        <w:sz w:val="18"/>
      </w:rPr>
      <w:t xml:space="preserve"> of </w:t>
    </w:r>
    <w:r w:rsidR="00647D26">
      <w:rPr>
        <w:noProof/>
        <w:sz w:val="18"/>
      </w:rPr>
      <w:fldChar w:fldCharType="begin"/>
    </w:r>
    <w:r w:rsidR="00647D26">
      <w:rPr>
        <w:noProof/>
        <w:sz w:val="18"/>
      </w:rPr>
      <w:instrText xml:space="preserve"> NUMPAGES  \* Arabic  \* MERGEFORMAT </w:instrText>
    </w:r>
    <w:r w:rsidR="00647D26">
      <w:rPr>
        <w:noProof/>
        <w:sz w:val="18"/>
      </w:rPr>
      <w:fldChar w:fldCharType="separate"/>
    </w:r>
    <w:r w:rsidR="00933B41">
      <w:rPr>
        <w:noProof/>
        <w:sz w:val="18"/>
      </w:rPr>
      <w:t>4</w:t>
    </w:r>
    <w:r w:rsidR="00647D26">
      <w:rPr>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Pr="005A6874" w:rsidRDefault="001520CE" w:rsidP="005A6874">
    <w:pPr>
      <w:pStyle w:val="Footer"/>
      <w:tabs>
        <w:tab w:val="clear" w:pos="8640"/>
      </w:tabs>
      <w:ind w:left="-540" w:right="-540"/>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sidR="00647D26">
      <w:rPr>
        <w:noProof/>
        <w:sz w:val="16"/>
        <w:szCs w:val="16"/>
      </w:rPr>
      <w:fldChar w:fldCharType="begin"/>
    </w:r>
    <w:r w:rsidR="00647D26">
      <w:rPr>
        <w:noProof/>
        <w:sz w:val="16"/>
        <w:szCs w:val="16"/>
      </w:rPr>
      <w:instrText xml:space="preserve"> NUMPAGES   \* MERGEFORMAT </w:instrText>
    </w:r>
    <w:r w:rsidR="00647D26">
      <w:rPr>
        <w:noProof/>
        <w:sz w:val="16"/>
        <w:szCs w:val="16"/>
      </w:rPr>
      <w:fldChar w:fldCharType="separate"/>
    </w:r>
    <w:r>
      <w:rPr>
        <w:noProof/>
        <w:sz w:val="16"/>
        <w:szCs w:val="16"/>
      </w:rPr>
      <w:t>2</w:t>
    </w:r>
    <w:r w:rsidR="00647D26">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26" w:rsidRDefault="00647D26">
      <w:r>
        <w:separator/>
      </w:r>
    </w:p>
  </w:footnote>
  <w:footnote w:type="continuationSeparator" w:id="0">
    <w:p w:rsidR="00647D26" w:rsidRDefault="00647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32" w:rsidRDefault="005C4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32" w:rsidRDefault="005C4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00" w:rsidRPr="002A6B90" w:rsidRDefault="00753D00">
    <w:pPr>
      <w:spacing w:after="360"/>
      <w:jc w:val="center"/>
      <w:rPr>
        <w:rFonts w:ascii="IowanOldSt BT" w:hAnsi="IowanOldSt BT"/>
        <w:spacing w:val="20"/>
      </w:rPr>
    </w:pPr>
    <w:r>
      <w:rPr>
        <w:rFonts w:ascii="IowanOldSt BT" w:hAnsi="IowanOldSt BT"/>
        <w:noProof/>
        <w:spacing w:val="20"/>
        <w:lang w:eastAsia="zh-CN"/>
      </w:rPr>
      <w:drawing>
        <wp:inline distT="0" distB="0" distL="0" distR="0" wp14:anchorId="3E713391" wp14:editId="17D42748">
          <wp:extent cx="1057275" cy="600075"/>
          <wp:effectExtent l="19050" t="0" r="9525" b="0"/>
          <wp:docPr id="2" name="Picture 0" descr="APA_Logo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A_Logo08_big.jpg"/>
                  <pic:cNvPicPr>
                    <a:picLocks noChangeAspect="1" noChangeArrowheads="1"/>
                  </pic:cNvPicPr>
                </pic:nvPicPr>
                <pic:blipFill>
                  <a:blip r:embed="rId1"/>
                  <a:srcRect/>
                  <a:stretch>
                    <a:fillRect/>
                  </a:stretch>
                </pic:blipFill>
                <pic:spPr bwMode="auto">
                  <a:xfrm>
                    <a:off x="0" y="0"/>
                    <a:ext cx="1057275" cy="60007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32" w:rsidRDefault="005C4D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32" w:rsidRDefault="005C4D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Pr="002A6B90" w:rsidRDefault="001520CE">
    <w:pPr>
      <w:spacing w:after="360"/>
      <w:jc w:val="center"/>
      <w:rPr>
        <w:rFonts w:ascii="IowanOldSt BT" w:hAnsi="IowanOldSt BT"/>
        <w:spacing w:val="20"/>
      </w:rPr>
    </w:pPr>
    <w:r>
      <w:rPr>
        <w:rFonts w:ascii="IowanOldSt BT" w:hAnsi="IowanOldSt BT"/>
        <w:noProof/>
        <w:spacing w:val="20"/>
        <w:lang w:eastAsia="zh-CN"/>
      </w:rPr>
      <w:drawing>
        <wp:inline distT="0" distB="0" distL="0" distR="0">
          <wp:extent cx="1057275" cy="600075"/>
          <wp:effectExtent l="19050" t="0" r="9525" b="0"/>
          <wp:docPr id="1" name="Picture 0" descr="APA_Logo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A_Logo08_big.jpg"/>
                  <pic:cNvPicPr>
                    <a:picLocks noChangeAspect="1" noChangeArrowheads="1"/>
                  </pic:cNvPicPr>
                </pic:nvPicPr>
                <pic:blipFill>
                  <a:blip r:embed="rId1"/>
                  <a:srcRect/>
                  <a:stretch>
                    <a:fillRect/>
                  </a:stretch>
                </pic:blipFill>
                <pic:spPr bwMode="auto">
                  <a:xfrm>
                    <a:off x="0" y="0"/>
                    <a:ext cx="105727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7446AA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440" w:hanging="720"/>
      </w:pPr>
      <w:rPr>
        <w:rFonts w:hint="default"/>
      </w:rPr>
    </w:lvl>
    <w:lvl w:ilvl="7">
      <w:start w:val="1"/>
      <w:numFmt w:val="decimal"/>
      <w:lvlText w:val="%1.%2.%3.%4.%5%6.%7.%8."/>
      <w:lvlJc w:val="left"/>
      <w:pPr>
        <w:ind w:left="2160" w:hanging="720"/>
      </w:pPr>
      <w:rPr>
        <w:rFonts w:hint="default"/>
      </w:rPr>
    </w:lvl>
    <w:lvl w:ilvl="8">
      <w:start w:val="1"/>
      <w:numFmt w:val="decimal"/>
      <w:lvlText w:val="%1.%2.%3.%4.%5%6.%7.%8.%9."/>
      <w:lvlJc w:val="left"/>
      <w:pPr>
        <w:ind w:left="2880" w:hanging="720"/>
      </w:pPr>
      <w:rPr>
        <w:rFonts w:hint="default"/>
      </w:rPr>
    </w:lvl>
  </w:abstractNum>
  <w:abstractNum w:abstractNumId="1" w15:restartNumberingAfterBreak="0">
    <w:nsid w:val="0C694EAC"/>
    <w:multiLevelType w:val="hybridMultilevel"/>
    <w:tmpl w:val="2CB68FB4"/>
    <w:lvl w:ilvl="0" w:tplc="A1CEDE98">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43979"/>
    <w:multiLevelType w:val="hybridMultilevel"/>
    <w:tmpl w:val="5AA00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616E6"/>
    <w:multiLevelType w:val="hybridMultilevel"/>
    <w:tmpl w:val="7186A1DA"/>
    <w:lvl w:ilvl="0" w:tplc="BE94C2E0">
      <w:start w:val="1"/>
      <w:numFmt w:val="lowerLetter"/>
      <w:lvlText w:val="(%1)"/>
      <w:lvlJc w:val="left"/>
      <w:pPr>
        <w:ind w:left="720" w:hanging="360"/>
      </w:pPr>
      <w:rPr>
        <w:rFonts w:hint="default"/>
        <w:strike w:val="0"/>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E7B4A"/>
    <w:multiLevelType w:val="hybridMultilevel"/>
    <w:tmpl w:val="54D24E9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15:restartNumberingAfterBreak="0">
    <w:nsid w:val="51FA2C97"/>
    <w:multiLevelType w:val="hybridMultilevel"/>
    <w:tmpl w:val="5AA00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D6"/>
    <w:rsid w:val="000026C3"/>
    <w:rsid w:val="00002E7C"/>
    <w:rsid w:val="0002302E"/>
    <w:rsid w:val="000453DC"/>
    <w:rsid w:val="000558E7"/>
    <w:rsid w:val="0006356E"/>
    <w:rsid w:val="000658B3"/>
    <w:rsid w:val="000661B0"/>
    <w:rsid w:val="00071A94"/>
    <w:rsid w:val="000942D9"/>
    <w:rsid w:val="0009728E"/>
    <w:rsid w:val="000A0F70"/>
    <w:rsid w:val="000A6648"/>
    <w:rsid w:val="000A694F"/>
    <w:rsid w:val="000A755B"/>
    <w:rsid w:val="000B13AE"/>
    <w:rsid w:val="000B587A"/>
    <w:rsid w:val="000B5A66"/>
    <w:rsid w:val="000B7494"/>
    <w:rsid w:val="0010214D"/>
    <w:rsid w:val="00115E07"/>
    <w:rsid w:val="0013293C"/>
    <w:rsid w:val="001436A9"/>
    <w:rsid w:val="001503B3"/>
    <w:rsid w:val="001520CE"/>
    <w:rsid w:val="00154EB2"/>
    <w:rsid w:val="001665D4"/>
    <w:rsid w:val="00186161"/>
    <w:rsid w:val="001A4AD2"/>
    <w:rsid w:val="001B7D7F"/>
    <w:rsid w:val="001C1308"/>
    <w:rsid w:val="001D19FE"/>
    <w:rsid w:val="001E7DCA"/>
    <w:rsid w:val="002007A7"/>
    <w:rsid w:val="0021058C"/>
    <w:rsid w:val="00215B27"/>
    <w:rsid w:val="002601A8"/>
    <w:rsid w:val="002672B4"/>
    <w:rsid w:val="0027540E"/>
    <w:rsid w:val="002A6B90"/>
    <w:rsid w:val="002C30A6"/>
    <w:rsid w:val="002C4186"/>
    <w:rsid w:val="003076C3"/>
    <w:rsid w:val="00311537"/>
    <w:rsid w:val="00343784"/>
    <w:rsid w:val="003647A7"/>
    <w:rsid w:val="00385F90"/>
    <w:rsid w:val="00393F52"/>
    <w:rsid w:val="00397959"/>
    <w:rsid w:val="003A56B1"/>
    <w:rsid w:val="003B0D60"/>
    <w:rsid w:val="003B0F89"/>
    <w:rsid w:val="003B2912"/>
    <w:rsid w:val="003B2DFD"/>
    <w:rsid w:val="003B7EAB"/>
    <w:rsid w:val="003C2E76"/>
    <w:rsid w:val="003F7D55"/>
    <w:rsid w:val="00416A1D"/>
    <w:rsid w:val="004230C0"/>
    <w:rsid w:val="00431E68"/>
    <w:rsid w:val="0043411C"/>
    <w:rsid w:val="00450756"/>
    <w:rsid w:val="004747A4"/>
    <w:rsid w:val="00494345"/>
    <w:rsid w:val="004A4DCD"/>
    <w:rsid w:val="004A6C2F"/>
    <w:rsid w:val="004B18ED"/>
    <w:rsid w:val="004C0C12"/>
    <w:rsid w:val="004C4DC0"/>
    <w:rsid w:val="004C66D9"/>
    <w:rsid w:val="004D46DC"/>
    <w:rsid w:val="004D4704"/>
    <w:rsid w:val="004D4EE1"/>
    <w:rsid w:val="004E5773"/>
    <w:rsid w:val="004F5811"/>
    <w:rsid w:val="00503EEA"/>
    <w:rsid w:val="00521C9D"/>
    <w:rsid w:val="00526BB7"/>
    <w:rsid w:val="00534D71"/>
    <w:rsid w:val="00540CCC"/>
    <w:rsid w:val="00541FD6"/>
    <w:rsid w:val="00543CB3"/>
    <w:rsid w:val="005447B7"/>
    <w:rsid w:val="00555EA8"/>
    <w:rsid w:val="00557AEF"/>
    <w:rsid w:val="00571F8E"/>
    <w:rsid w:val="0059538F"/>
    <w:rsid w:val="005A1CFF"/>
    <w:rsid w:val="005A2E06"/>
    <w:rsid w:val="005A6874"/>
    <w:rsid w:val="005C4D32"/>
    <w:rsid w:val="005D4138"/>
    <w:rsid w:val="005D682C"/>
    <w:rsid w:val="005E13ED"/>
    <w:rsid w:val="005E180E"/>
    <w:rsid w:val="005E20E0"/>
    <w:rsid w:val="00605F62"/>
    <w:rsid w:val="00606F66"/>
    <w:rsid w:val="00610329"/>
    <w:rsid w:val="00624261"/>
    <w:rsid w:val="00627F58"/>
    <w:rsid w:val="00633FBE"/>
    <w:rsid w:val="00634B73"/>
    <w:rsid w:val="006427E4"/>
    <w:rsid w:val="00647D26"/>
    <w:rsid w:val="00656A8D"/>
    <w:rsid w:val="0066320B"/>
    <w:rsid w:val="006720AF"/>
    <w:rsid w:val="00683E7C"/>
    <w:rsid w:val="006E16AD"/>
    <w:rsid w:val="006F24CF"/>
    <w:rsid w:val="006F700A"/>
    <w:rsid w:val="00703613"/>
    <w:rsid w:val="00724A24"/>
    <w:rsid w:val="00732896"/>
    <w:rsid w:val="0073608A"/>
    <w:rsid w:val="00753D00"/>
    <w:rsid w:val="00754BED"/>
    <w:rsid w:val="007674C7"/>
    <w:rsid w:val="00770327"/>
    <w:rsid w:val="00772F37"/>
    <w:rsid w:val="007A3993"/>
    <w:rsid w:val="00801666"/>
    <w:rsid w:val="008279E8"/>
    <w:rsid w:val="00852295"/>
    <w:rsid w:val="00860B2C"/>
    <w:rsid w:val="00882754"/>
    <w:rsid w:val="00891D8E"/>
    <w:rsid w:val="008971C0"/>
    <w:rsid w:val="008A04EB"/>
    <w:rsid w:val="008B350C"/>
    <w:rsid w:val="008B7DB1"/>
    <w:rsid w:val="008C17F9"/>
    <w:rsid w:val="008C38C7"/>
    <w:rsid w:val="008C5161"/>
    <w:rsid w:val="00933B41"/>
    <w:rsid w:val="00950059"/>
    <w:rsid w:val="00960C3B"/>
    <w:rsid w:val="0097157C"/>
    <w:rsid w:val="009A4C96"/>
    <w:rsid w:val="009E52E4"/>
    <w:rsid w:val="009F2F09"/>
    <w:rsid w:val="00A015F1"/>
    <w:rsid w:val="00A0211B"/>
    <w:rsid w:val="00A25331"/>
    <w:rsid w:val="00A3579E"/>
    <w:rsid w:val="00A35F30"/>
    <w:rsid w:val="00A37BB0"/>
    <w:rsid w:val="00A57D0B"/>
    <w:rsid w:val="00A62418"/>
    <w:rsid w:val="00A6390F"/>
    <w:rsid w:val="00A64ED6"/>
    <w:rsid w:val="00A715DC"/>
    <w:rsid w:val="00A84716"/>
    <w:rsid w:val="00A92516"/>
    <w:rsid w:val="00AA4343"/>
    <w:rsid w:val="00AA47E1"/>
    <w:rsid w:val="00AA71F2"/>
    <w:rsid w:val="00AB1767"/>
    <w:rsid w:val="00AC7196"/>
    <w:rsid w:val="00B10197"/>
    <w:rsid w:val="00B1695C"/>
    <w:rsid w:val="00B22421"/>
    <w:rsid w:val="00B24B90"/>
    <w:rsid w:val="00B368EE"/>
    <w:rsid w:val="00B40E0D"/>
    <w:rsid w:val="00B45510"/>
    <w:rsid w:val="00B45B22"/>
    <w:rsid w:val="00B46587"/>
    <w:rsid w:val="00B716A7"/>
    <w:rsid w:val="00B834CC"/>
    <w:rsid w:val="00BB598C"/>
    <w:rsid w:val="00BE2312"/>
    <w:rsid w:val="00BF017C"/>
    <w:rsid w:val="00C0154A"/>
    <w:rsid w:val="00C22AA7"/>
    <w:rsid w:val="00C33846"/>
    <w:rsid w:val="00C3612C"/>
    <w:rsid w:val="00C476BE"/>
    <w:rsid w:val="00C5111E"/>
    <w:rsid w:val="00C73321"/>
    <w:rsid w:val="00C93D2F"/>
    <w:rsid w:val="00CC1DB1"/>
    <w:rsid w:val="00CC3650"/>
    <w:rsid w:val="00CD1C75"/>
    <w:rsid w:val="00CD216A"/>
    <w:rsid w:val="00CE3F53"/>
    <w:rsid w:val="00D11C2E"/>
    <w:rsid w:val="00D3551D"/>
    <w:rsid w:val="00D551C0"/>
    <w:rsid w:val="00D554D5"/>
    <w:rsid w:val="00D83A7A"/>
    <w:rsid w:val="00D85AFE"/>
    <w:rsid w:val="00D90D2C"/>
    <w:rsid w:val="00DA4827"/>
    <w:rsid w:val="00DA4DEE"/>
    <w:rsid w:val="00DA706C"/>
    <w:rsid w:val="00DB1C2E"/>
    <w:rsid w:val="00DB3592"/>
    <w:rsid w:val="00DC5B05"/>
    <w:rsid w:val="00DC6AE6"/>
    <w:rsid w:val="00DE49F0"/>
    <w:rsid w:val="00DE5F59"/>
    <w:rsid w:val="00DF4825"/>
    <w:rsid w:val="00DF5BCA"/>
    <w:rsid w:val="00E05B41"/>
    <w:rsid w:val="00E07E67"/>
    <w:rsid w:val="00E1330F"/>
    <w:rsid w:val="00E171CC"/>
    <w:rsid w:val="00E255EC"/>
    <w:rsid w:val="00E74B26"/>
    <w:rsid w:val="00E76D8D"/>
    <w:rsid w:val="00E77253"/>
    <w:rsid w:val="00E81E86"/>
    <w:rsid w:val="00E90939"/>
    <w:rsid w:val="00EA402F"/>
    <w:rsid w:val="00EA63FB"/>
    <w:rsid w:val="00EA7DB5"/>
    <w:rsid w:val="00EB6B3B"/>
    <w:rsid w:val="00EE11A5"/>
    <w:rsid w:val="00EF27A2"/>
    <w:rsid w:val="00F165CD"/>
    <w:rsid w:val="00F17831"/>
    <w:rsid w:val="00F22073"/>
    <w:rsid w:val="00F34974"/>
    <w:rsid w:val="00F3578C"/>
    <w:rsid w:val="00F507EC"/>
    <w:rsid w:val="00F60876"/>
    <w:rsid w:val="00F64F06"/>
    <w:rsid w:val="00F6776B"/>
    <w:rsid w:val="00F75BA1"/>
    <w:rsid w:val="00F83352"/>
    <w:rsid w:val="00FA3C81"/>
    <w:rsid w:val="00FA4069"/>
    <w:rsid w:val="00FB60A8"/>
    <w:rsid w:val="00FC0C48"/>
    <w:rsid w:val="00FD2A7E"/>
    <w:rsid w:val="00FD3768"/>
    <w:rsid w:val="00FF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B22D7-D120-4510-9E50-627F2389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C0"/>
    <w:rPr>
      <w:rFonts w:ascii="Arial" w:eastAsia="Calibri" w:hAnsi="Arial"/>
      <w:szCs w:val="22"/>
    </w:rPr>
  </w:style>
  <w:style w:type="paragraph" w:styleId="Heading1">
    <w:name w:val="heading 1"/>
    <w:basedOn w:val="Normal"/>
    <w:qFormat/>
    <w:rsid w:val="008971C0"/>
    <w:pPr>
      <w:keepNext/>
      <w:numPr>
        <w:numId w:val="2"/>
      </w:numPr>
      <w:spacing w:line="22" w:lineRule="atLeast"/>
      <w:outlineLvl w:val="0"/>
    </w:pPr>
    <w:rPr>
      <w:rFonts w:eastAsia="Times New Roman"/>
      <w:szCs w:val="20"/>
    </w:rPr>
  </w:style>
  <w:style w:type="paragraph" w:styleId="Heading2">
    <w:name w:val="heading 2"/>
    <w:basedOn w:val="Normal"/>
    <w:qFormat/>
    <w:rsid w:val="008971C0"/>
    <w:pPr>
      <w:numPr>
        <w:ilvl w:val="1"/>
        <w:numId w:val="2"/>
      </w:numPr>
      <w:spacing w:line="22" w:lineRule="atLeast"/>
      <w:outlineLvl w:val="1"/>
    </w:pPr>
    <w:rPr>
      <w:rFonts w:eastAsia="Times New Roman"/>
      <w:szCs w:val="20"/>
    </w:rPr>
  </w:style>
  <w:style w:type="paragraph" w:styleId="Heading3">
    <w:name w:val="heading 3"/>
    <w:basedOn w:val="Normal"/>
    <w:qFormat/>
    <w:rsid w:val="008971C0"/>
    <w:pPr>
      <w:numPr>
        <w:ilvl w:val="2"/>
        <w:numId w:val="2"/>
      </w:numPr>
      <w:spacing w:line="22" w:lineRule="atLeast"/>
      <w:outlineLvl w:val="2"/>
    </w:pPr>
    <w:rPr>
      <w:rFonts w:eastAsia="Times New Roman"/>
      <w:szCs w:val="20"/>
    </w:rPr>
  </w:style>
  <w:style w:type="paragraph" w:styleId="Heading4">
    <w:name w:val="heading 4"/>
    <w:basedOn w:val="Normal"/>
    <w:qFormat/>
    <w:rsid w:val="008971C0"/>
    <w:pPr>
      <w:numPr>
        <w:ilvl w:val="3"/>
        <w:numId w:val="2"/>
      </w:numPr>
      <w:spacing w:line="22" w:lineRule="atLeast"/>
      <w:outlineLvl w:val="3"/>
    </w:pPr>
    <w:rPr>
      <w:rFonts w:eastAsia="Times New Roman"/>
      <w:szCs w:val="20"/>
    </w:rPr>
  </w:style>
  <w:style w:type="paragraph" w:styleId="Heading5">
    <w:name w:val="heading 5"/>
    <w:basedOn w:val="Normal"/>
    <w:next w:val="Normal"/>
    <w:qFormat/>
    <w:rsid w:val="008971C0"/>
    <w:pPr>
      <w:numPr>
        <w:ilvl w:val="4"/>
        <w:numId w:val="2"/>
      </w:numPr>
      <w:spacing w:line="22" w:lineRule="atLeast"/>
      <w:outlineLvl w:val="4"/>
    </w:pPr>
    <w:rPr>
      <w:rFonts w:eastAsia="Times New Roman"/>
      <w:szCs w:val="20"/>
    </w:rPr>
  </w:style>
  <w:style w:type="paragraph" w:styleId="Heading6">
    <w:name w:val="heading 6"/>
    <w:basedOn w:val="Normal"/>
    <w:next w:val="Normal"/>
    <w:qFormat/>
    <w:rsid w:val="00EA402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A402F"/>
  </w:style>
  <w:style w:type="paragraph" w:styleId="Footer">
    <w:name w:val="footer"/>
    <w:basedOn w:val="Normal"/>
    <w:link w:val="FooterChar"/>
    <w:rsid w:val="00EA402F"/>
    <w:pPr>
      <w:tabs>
        <w:tab w:val="center" w:pos="4320"/>
        <w:tab w:val="right" w:pos="8640"/>
      </w:tabs>
    </w:pPr>
  </w:style>
  <w:style w:type="paragraph" w:styleId="Header">
    <w:name w:val="header"/>
    <w:basedOn w:val="Normal"/>
    <w:link w:val="HeaderChar"/>
    <w:uiPriority w:val="99"/>
    <w:unhideWhenUsed/>
    <w:rsid w:val="008971C0"/>
    <w:pPr>
      <w:tabs>
        <w:tab w:val="center" w:pos="4680"/>
        <w:tab w:val="right" w:pos="9360"/>
      </w:tabs>
      <w:spacing w:line="22" w:lineRule="atLeast"/>
      <w:ind w:left="360"/>
    </w:pPr>
    <w:rPr>
      <w:rFonts w:eastAsia="Times New Roman"/>
      <w:szCs w:val="20"/>
    </w:rPr>
  </w:style>
  <w:style w:type="paragraph" w:styleId="NormalIndent">
    <w:name w:val="Normal Indent"/>
    <w:basedOn w:val="Normal"/>
    <w:semiHidden/>
    <w:rsid w:val="00EA402F"/>
    <w:pPr>
      <w:ind w:left="720"/>
    </w:pPr>
  </w:style>
  <w:style w:type="paragraph" w:customStyle="1" w:styleId="SectionHeading">
    <w:name w:val="Section Heading"/>
    <w:basedOn w:val="Heading1"/>
    <w:rsid w:val="00EA402F"/>
    <w:pPr>
      <w:tabs>
        <w:tab w:val="left" w:pos="1440"/>
      </w:tabs>
      <w:spacing w:after="480"/>
      <w:outlineLvl w:val="9"/>
    </w:pPr>
  </w:style>
  <w:style w:type="paragraph" w:customStyle="1" w:styleId="TableHeading">
    <w:name w:val="TableHeading"/>
    <w:basedOn w:val="Normal"/>
    <w:rsid w:val="00EA402F"/>
    <w:pPr>
      <w:jc w:val="center"/>
    </w:pPr>
    <w:rPr>
      <w:b/>
      <w:smallCaps/>
    </w:rPr>
  </w:style>
  <w:style w:type="paragraph" w:customStyle="1" w:styleId="NormLRFD">
    <w:name w:val="NormLRFD"/>
    <w:basedOn w:val="Normal"/>
    <w:rsid w:val="00EA402F"/>
  </w:style>
  <w:style w:type="paragraph" w:customStyle="1" w:styleId="text2">
    <w:name w:val="text2"/>
    <w:basedOn w:val="Normal"/>
    <w:rsid w:val="00EA402F"/>
    <w:pPr>
      <w:ind w:left="288" w:hanging="144"/>
    </w:pPr>
  </w:style>
  <w:style w:type="paragraph" w:customStyle="1" w:styleId="text1">
    <w:name w:val="text1"/>
    <w:basedOn w:val="Normal"/>
    <w:rsid w:val="00EA402F"/>
    <w:pPr>
      <w:ind w:left="288" w:hanging="144"/>
    </w:pPr>
  </w:style>
  <w:style w:type="paragraph" w:customStyle="1" w:styleId="Comment1">
    <w:name w:val="Comment 1"/>
    <w:basedOn w:val="Heading1"/>
    <w:rsid w:val="00EA402F"/>
    <w:pPr>
      <w:outlineLvl w:val="9"/>
    </w:pPr>
  </w:style>
  <w:style w:type="paragraph" w:customStyle="1" w:styleId="head1cov">
    <w:name w:val="head1cov"/>
    <w:basedOn w:val="Heading1"/>
    <w:rsid w:val="00EA402F"/>
    <w:pPr>
      <w:keepNext w:val="0"/>
      <w:spacing w:before="240"/>
      <w:outlineLvl w:val="9"/>
    </w:pPr>
    <w:rPr>
      <w:b/>
      <w:i/>
      <w:smallCaps/>
      <w:sz w:val="28"/>
    </w:rPr>
  </w:style>
  <w:style w:type="paragraph" w:styleId="TOC1">
    <w:name w:val="toc 1"/>
    <w:basedOn w:val="Normal"/>
    <w:next w:val="Normal"/>
    <w:semiHidden/>
    <w:rsid w:val="00EA402F"/>
    <w:pPr>
      <w:tabs>
        <w:tab w:val="right" w:leader="dot" w:pos="8640"/>
      </w:tabs>
      <w:spacing w:before="120" w:after="120"/>
    </w:pPr>
  </w:style>
  <w:style w:type="paragraph" w:styleId="TOC2">
    <w:name w:val="toc 2"/>
    <w:basedOn w:val="Normal"/>
    <w:next w:val="Normal"/>
    <w:semiHidden/>
    <w:rsid w:val="00EA402F"/>
    <w:pPr>
      <w:tabs>
        <w:tab w:val="right" w:leader="dot" w:pos="8640"/>
      </w:tabs>
    </w:pPr>
  </w:style>
  <w:style w:type="paragraph" w:styleId="TOC3">
    <w:name w:val="toc 3"/>
    <w:basedOn w:val="Normal"/>
    <w:next w:val="Normal"/>
    <w:semiHidden/>
    <w:rsid w:val="00EA402F"/>
    <w:pPr>
      <w:tabs>
        <w:tab w:val="right" w:leader="dot" w:pos="8640"/>
      </w:tabs>
      <w:ind w:left="220"/>
    </w:pPr>
  </w:style>
  <w:style w:type="character" w:styleId="PageNumber">
    <w:name w:val="page number"/>
    <w:basedOn w:val="DefaultParagraphFont"/>
    <w:semiHidden/>
    <w:rsid w:val="00EA402F"/>
  </w:style>
  <w:style w:type="paragraph" w:styleId="BalloonText">
    <w:name w:val="Balloon Text"/>
    <w:basedOn w:val="Normal"/>
    <w:link w:val="BalloonTextChar"/>
    <w:uiPriority w:val="99"/>
    <w:semiHidden/>
    <w:unhideWhenUsed/>
    <w:rsid w:val="002A6B90"/>
    <w:rPr>
      <w:rFonts w:ascii="Tahoma" w:hAnsi="Tahoma" w:cs="Tahoma"/>
      <w:sz w:val="16"/>
      <w:szCs w:val="16"/>
    </w:rPr>
  </w:style>
  <w:style w:type="character" w:customStyle="1" w:styleId="BalloonTextChar">
    <w:name w:val="Balloon Text Char"/>
    <w:basedOn w:val="DefaultParagraphFont"/>
    <w:link w:val="BalloonText"/>
    <w:uiPriority w:val="99"/>
    <w:semiHidden/>
    <w:rsid w:val="002A6B90"/>
    <w:rPr>
      <w:rFonts w:ascii="Tahoma" w:hAnsi="Tahoma" w:cs="Tahoma"/>
      <w:sz w:val="16"/>
      <w:szCs w:val="16"/>
    </w:rPr>
  </w:style>
  <w:style w:type="character" w:customStyle="1" w:styleId="HeaderChar">
    <w:name w:val="Header Char"/>
    <w:basedOn w:val="DefaultParagraphFont"/>
    <w:link w:val="Header"/>
    <w:uiPriority w:val="99"/>
    <w:rsid w:val="00311537"/>
    <w:rPr>
      <w:rFonts w:ascii="Arial" w:hAnsi="Arial"/>
      <w:sz w:val="22"/>
    </w:rPr>
  </w:style>
  <w:style w:type="character" w:customStyle="1" w:styleId="FooterChar">
    <w:name w:val="Footer Char"/>
    <w:basedOn w:val="DefaultParagraphFont"/>
    <w:link w:val="Footer"/>
    <w:uiPriority w:val="99"/>
    <w:rsid w:val="00311537"/>
    <w:rPr>
      <w:rFonts w:ascii="Arial" w:hAnsi="Arial"/>
      <w:sz w:val="22"/>
    </w:rPr>
  </w:style>
  <w:style w:type="character" w:styleId="Hyperlink">
    <w:name w:val="Hyperlink"/>
    <w:basedOn w:val="DefaultParagraphFont"/>
    <w:uiPriority w:val="99"/>
    <w:unhideWhenUsed/>
    <w:rsid w:val="00311537"/>
    <w:rPr>
      <w:color w:val="0000FF"/>
      <w:u w:val="single"/>
    </w:rPr>
  </w:style>
  <w:style w:type="table" w:styleId="TableGrid">
    <w:name w:val="Table Grid"/>
    <w:basedOn w:val="TableNormal"/>
    <w:uiPriority w:val="59"/>
    <w:rsid w:val="00897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521C9D"/>
  </w:style>
  <w:style w:type="character" w:customStyle="1" w:styleId="EndnoteTextChar">
    <w:name w:val="Endnote Text Char"/>
    <w:basedOn w:val="DefaultParagraphFont"/>
    <w:link w:val="EndnoteText"/>
    <w:semiHidden/>
    <w:rsid w:val="00534D71"/>
    <w:rPr>
      <w:rFonts w:ascii="Arial" w:eastAsia="Calibri" w:hAnsi="Arial"/>
      <w:szCs w:val="22"/>
    </w:rPr>
  </w:style>
  <w:style w:type="paragraph" w:customStyle="1" w:styleId="Pa6">
    <w:name w:val="Pa6"/>
    <w:basedOn w:val="Normal"/>
    <w:next w:val="Normal"/>
    <w:uiPriority w:val="99"/>
    <w:rsid w:val="003647A7"/>
    <w:pPr>
      <w:autoSpaceDE w:val="0"/>
      <w:autoSpaceDN w:val="0"/>
      <w:adjustRightInd w:val="0"/>
      <w:spacing w:line="141" w:lineRule="atLeast"/>
    </w:pPr>
    <w:rPr>
      <w:rFonts w:ascii="Futura Bk BT" w:eastAsia="Arial" w:hAnsi="Futura Bk BT"/>
      <w:sz w:val="24"/>
      <w:szCs w:val="24"/>
    </w:rPr>
  </w:style>
  <w:style w:type="paragraph" w:styleId="ListParagraph">
    <w:name w:val="List Paragraph"/>
    <w:basedOn w:val="Normal"/>
    <w:uiPriority w:val="34"/>
    <w:qFormat/>
    <w:rsid w:val="00CE3F53"/>
    <w:pPr>
      <w:ind w:left="720"/>
      <w:contextualSpacing/>
    </w:pPr>
  </w:style>
  <w:style w:type="character" w:styleId="SubtleEmphasis">
    <w:name w:val="Subtle Emphasis"/>
    <w:basedOn w:val="DefaultParagraphFont"/>
    <w:uiPriority w:val="19"/>
    <w:qFormat/>
    <w:rsid w:val="00C3612C"/>
    <w:rPr>
      <w:rFonts w:cs="Times New Roman"/>
      <w:i/>
      <w:iCs/>
      <w:color w:val="808080"/>
    </w:rPr>
  </w:style>
  <w:style w:type="paragraph" w:styleId="CommentText">
    <w:name w:val="annotation text"/>
    <w:basedOn w:val="Normal"/>
    <w:link w:val="CommentTextChar"/>
    <w:uiPriority w:val="99"/>
    <w:unhideWhenUsed/>
    <w:rsid w:val="00343784"/>
    <w:rPr>
      <w:szCs w:val="20"/>
    </w:rPr>
  </w:style>
  <w:style w:type="character" w:customStyle="1" w:styleId="CommentTextChar">
    <w:name w:val="Comment Text Char"/>
    <w:basedOn w:val="DefaultParagraphFont"/>
    <w:link w:val="CommentText"/>
    <w:uiPriority w:val="99"/>
    <w:rsid w:val="00343784"/>
    <w:rPr>
      <w:rFonts w:ascii="Arial" w:eastAsia="Calibri" w:hAnsi="Arial"/>
    </w:rPr>
  </w:style>
  <w:style w:type="paragraph" w:customStyle="1" w:styleId="Default">
    <w:name w:val="Default"/>
    <w:rsid w:val="00B46587"/>
    <w:pPr>
      <w:autoSpaceDE w:val="0"/>
      <w:autoSpaceDN w:val="0"/>
      <w:adjustRightInd w:val="0"/>
    </w:pPr>
    <w:rPr>
      <w:rFonts w:ascii="Arial" w:hAnsi="Arial" w:cs="Arial"/>
      <w:color w:val="000000"/>
      <w:sz w:val="24"/>
      <w:szCs w:val="24"/>
    </w:rPr>
  </w:style>
  <w:style w:type="paragraph" w:customStyle="1" w:styleId="Body">
    <w:name w:val="Body"/>
    <w:basedOn w:val="Normal"/>
    <w:rsid w:val="004E5773"/>
    <w:pPr>
      <w:tabs>
        <w:tab w:val="left" w:pos="900"/>
      </w:tabs>
      <w:spacing w:before="240"/>
      <w:ind w:firstLine="360"/>
    </w:pPr>
    <w:rPr>
      <w:rFonts w:eastAsia="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45082">
      <w:bodyDiv w:val="1"/>
      <w:marLeft w:val="0"/>
      <w:marRight w:val="0"/>
      <w:marTop w:val="0"/>
      <w:marBottom w:val="0"/>
      <w:divBdr>
        <w:top w:val="none" w:sz="0" w:space="0" w:color="auto"/>
        <w:left w:val="none" w:sz="0" w:space="0" w:color="auto"/>
        <w:bottom w:val="none" w:sz="0" w:space="0" w:color="auto"/>
        <w:right w:val="none" w:sz="0" w:space="0" w:color="auto"/>
      </w:divBdr>
    </w:div>
    <w:div w:id="19486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jen.yeh@apawood.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jenY\AppData\Roaming\Microsoft\Templates\1apa%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94720-CAF7-45DF-AA39-332AFD5E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1apa letter head.dotx</Template>
  <TotalTime>202</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7750</CharactersWithSpaces>
  <SharedDoc>false</SharedDoc>
  <HLinks>
    <vt:vector size="12" baseType="variant">
      <vt:variant>
        <vt:i4>2621524</vt:i4>
      </vt:variant>
      <vt:variant>
        <vt:i4>3</vt:i4>
      </vt:variant>
      <vt:variant>
        <vt:i4>0</vt:i4>
      </vt:variant>
      <vt:variant>
        <vt:i4>5</vt:i4>
      </vt:variant>
      <vt:variant>
        <vt:lpwstr>mailto:borjen.yeh@apawood.org</vt:lpwstr>
      </vt:variant>
      <vt:variant>
        <vt:lpwstr/>
      </vt:variant>
      <vt:variant>
        <vt:i4>6226004</vt:i4>
      </vt:variant>
      <vt:variant>
        <vt:i4>0</vt:i4>
      </vt:variant>
      <vt:variant>
        <vt:i4>0</vt:i4>
      </vt:variant>
      <vt:variant>
        <vt:i4>5</vt:i4>
      </vt:variant>
      <vt:variant>
        <vt:lpwstr>http://www.apawood.org/standards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Borjen Yeh</dc:creator>
  <cp:lastModifiedBy>Dr. BJ Yeh</cp:lastModifiedBy>
  <cp:revision>33</cp:revision>
  <dcterms:created xsi:type="dcterms:W3CDTF">2017-04-10T20:10:00Z</dcterms:created>
  <dcterms:modified xsi:type="dcterms:W3CDTF">2018-11-10T16:46:00Z</dcterms:modified>
</cp:coreProperties>
</file>